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C5AB5" w14:textId="77777777" w:rsidR="000C1135" w:rsidRPr="001A1FD3" w:rsidRDefault="0004130A" w:rsidP="000C1135">
      <w:pPr>
        <w:widowControl w:val="0"/>
        <w:rPr>
          <w:rFonts w:eastAsia="Times New Roman"/>
        </w:rPr>
      </w:pPr>
      <w:r w:rsidRPr="001A1FD3">
        <w:rPr>
          <w:rFonts w:eastAsia="Times New Roman"/>
          <w:smallCaps/>
        </w:rPr>
        <w:t>WILLIAM E. FITZPATRICK</w:t>
      </w:r>
    </w:p>
    <w:p w14:paraId="6310A034" w14:textId="77777777" w:rsidR="000C1135" w:rsidRPr="001A1FD3" w:rsidRDefault="0004130A" w:rsidP="000C1135">
      <w:pPr>
        <w:widowControl w:val="0"/>
        <w:rPr>
          <w:rFonts w:eastAsia="Times New Roman"/>
        </w:rPr>
      </w:pPr>
      <w:r w:rsidRPr="001A1FD3">
        <w:rPr>
          <w:rFonts w:eastAsia="Times New Roman"/>
        </w:rPr>
        <w:t xml:space="preserve">Acting </w:t>
      </w:r>
      <w:r w:rsidR="000C1135" w:rsidRPr="001A1FD3">
        <w:rPr>
          <w:rFonts w:eastAsia="Times New Roman"/>
        </w:rPr>
        <w:t>United States Attorney</w:t>
      </w:r>
    </w:p>
    <w:p w14:paraId="0FDECB8D" w14:textId="77777777" w:rsidR="000C1135" w:rsidRPr="001A1FD3" w:rsidRDefault="00E93551" w:rsidP="000C1135">
      <w:pPr>
        <w:widowControl w:val="0"/>
        <w:rPr>
          <w:rFonts w:eastAsia="Times New Roman"/>
        </w:rPr>
      </w:pPr>
      <w:r w:rsidRPr="001A1FD3">
        <w:rPr>
          <w:rFonts w:eastAsia="Times New Roman"/>
        </w:rPr>
        <w:t>JORDAN M. ANGER</w:t>
      </w:r>
    </w:p>
    <w:p w14:paraId="71339FD6" w14:textId="77777777" w:rsidR="00742302" w:rsidRPr="001A1FD3" w:rsidRDefault="00742302" w:rsidP="000C1135">
      <w:pPr>
        <w:widowControl w:val="0"/>
        <w:rPr>
          <w:rFonts w:eastAsia="Times New Roman"/>
        </w:rPr>
      </w:pPr>
      <w:r w:rsidRPr="001A1FD3">
        <w:rPr>
          <w:rFonts w:eastAsia="Times New Roman"/>
        </w:rPr>
        <w:t>DAVID V. SIMUNOVICH</w:t>
      </w:r>
    </w:p>
    <w:p w14:paraId="6487B6BF" w14:textId="77777777" w:rsidR="000C1135" w:rsidRPr="001A1FD3" w:rsidRDefault="000C1135" w:rsidP="000C1135">
      <w:pPr>
        <w:widowControl w:val="0"/>
        <w:rPr>
          <w:rFonts w:eastAsia="Times New Roman"/>
          <w:u w:val="single"/>
        </w:rPr>
      </w:pPr>
      <w:r w:rsidRPr="001A1FD3">
        <w:rPr>
          <w:rFonts w:eastAsia="Times New Roman"/>
        </w:rPr>
        <w:t>Assistant United States Attorney</w:t>
      </w:r>
      <w:r w:rsidR="00742302" w:rsidRPr="001A1FD3">
        <w:rPr>
          <w:rFonts w:eastAsia="Times New Roman"/>
        </w:rPr>
        <w:t>s</w:t>
      </w:r>
      <w:r w:rsidRPr="001A1FD3">
        <w:rPr>
          <w:rFonts w:eastAsia="Times New Roman"/>
        </w:rPr>
        <w:tab/>
      </w:r>
      <w:r w:rsidRPr="001A1FD3">
        <w:rPr>
          <w:rFonts w:eastAsia="Times New Roman"/>
        </w:rPr>
        <w:tab/>
      </w:r>
      <w:r w:rsidRPr="001A1FD3">
        <w:rPr>
          <w:rFonts w:eastAsia="Times New Roman"/>
        </w:rPr>
        <w:tab/>
      </w:r>
    </w:p>
    <w:p w14:paraId="457AADB4" w14:textId="77777777" w:rsidR="000C1135" w:rsidRPr="001A1FD3" w:rsidRDefault="000C1135" w:rsidP="000C1135">
      <w:pPr>
        <w:widowControl w:val="0"/>
        <w:rPr>
          <w:rFonts w:eastAsia="Times New Roman"/>
        </w:rPr>
      </w:pPr>
      <w:r w:rsidRPr="001A1FD3">
        <w:rPr>
          <w:rFonts w:eastAsia="Times New Roman"/>
        </w:rPr>
        <w:t>970 Broad Street, Suite 700</w:t>
      </w:r>
    </w:p>
    <w:p w14:paraId="0E66B6F3" w14:textId="77777777" w:rsidR="000C1135" w:rsidRPr="001A1FD3" w:rsidRDefault="000C1135" w:rsidP="000C1135">
      <w:pPr>
        <w:widowControl w:val="0"/>
        <w:rPr>
          <w:rFonts w:eastAsia="Times New Roman"/>
        </w:rPr>
      </w:pPr>
      <w:r w:rsidRPr="001A1FD3">
        <w:rPr>
          <w:rFonts w:eastAsia="Times New Roman"/>
        </w:rPr>
        <w:t>Newark, NJ 07102</w:t>
      </w:r>
    </w:p>
    <w:p w14:paraId="1585329D" w14:textId="77777777" w:rsidR="000C1135" w:rsidRPr="001A1FD3" w:rsidRDefault="000C1135" w:rsidP="000C1135">
      <w:pPr>
        <w:widowControl w:val="0"/>
        <w:rPr>
          <w:rFonts w:eastAsia="Times New Roman"/>
        </w:rPr>
      </w:pPr>
      <w:r w:rsidRPr="001A1FD3">
        <w:rPr>
          <w:rFonts w:eastAsia="Times New Roman"/>
        </w:rPr>
        <w:t xml:space="preserve">Tel. (973) </w:t>
      </w:r>
      <w:r w:rsidR="00E93551" w:rsidRPr="001A1FD3">
        <w:rPr>
          <w:rFonts w:eastAsia="Times New Roman"/>
        </w:rPr>
        <w:t>645-2829</w:t>
      </w:r>
    </w:p>
    <w:p w14:paraId="31F37C90" w14:textId="77777777" w:rsidR="000C1135" w:rsidRPr="001A1FD3" w:rsidRDefault="00E93551" w:rsidP="000C1135">
      <w:pPr>
        <w:widowControl w:val="0"/>
        <w:rPr>
          <w:rFonts w:eastAsia="Times New Roman"/>
        </w:rPr>
      </w:pPr>
      <w:r w:rsidRPr="001A1FD3">
        <w:rPr>
          <w:rFonts w:eastAsia="Times New Roman"/>
        </w:rPr>
        <w:t>jordan.anger@usdoj.gov</w:t>
      </w:r>
    </w:p>
    <w:p w14:paraId="64FE7DBF" w14:textId="77777777" w:rsidR="000C1135" w:rsidRPr="001A1FD3" w:rsidRDefault="000C1135" w:rsidP="000C1135">
      <w:pPr>
        <w:widowControl w:val="0"/>
        <w:rPr>
          <w:rFonts w:eastAsia="Times New Roman"/>
        </w:rPr>
      </w:pPr>
    </w:p>
    <w:p w14:paraId="122AF5A3" w14:textId="77777777" w:rsidR="000C1135" w:rsidRPr="001A1FD3" w:rsidRDefault="000C1135" w:rsidP="000C1135">
      <w:pPr>
        <w:tabs>
          <w:tab w:val="right" w:pos="9360"/>
        </w:tabs>
        <w:jc w:val="center"/>
        <w:rPr>
          <w:rFonts w:eastAsia="Times New Roman"/>
        </w:rPr>
      </w:pPr>
      <w:r w:rsidRPr="001A1FD3">
        <w:rPr>
          <w:rFonts w:eastAsia="Times New Roman"/>
        </w:rPr>
        <w:t>UNITED STATES DISTRICT COURT</w:t>
      </w:r>
    </w:p>
    <w:p w14:paraId="151E1B40" w14:textId="77777777" w:rsidR="000C1135" w:rsidRPr="001A1FD3" w:rsidRDefault="000C1135" w:rsidP="000C1135">
      <w:pPr>
        <w:tabs>
          <w:tab w:val="right" w:pos="9360"/>
        </w:tabs>
        <w:jc w:val="center"/>
        <w:rPr>
          <w:rFonts w:eastAsia="Times New Roman"/>
          <w:i/>
        </w:rPr>
      </w:pPr>
      <w:r w:rsidRPr="001A1FD3">
        <w:rPr>
          <w:rFonts w:eastAsia="Times New Roman"/>
        </w:rPr>
        <w:t>DISTRICT OF NEW JERSEY</w:t>
      </w:r>
    </w:p>
    <w:p w14:paraId="3F082018" w14:textId="77777777" w:rsidR="000C1135" w:rsidRPr="001A1FD3" w:rsidRDefault="000C1135" w:rsidP="000C1135">
      <w:pPr>
        <w:tabs>
          <w:tab w:val="right" w:pos="9360"/>
        </w:tabs>
        <w:rPr>
          <w:rFonts w:eastAsia="Times New Roman"/>
          <w:i/>
        </w:rPr>
      </w:pPr>
    </w:p>
    <w:tbl>
      <w:tblPr>
        <w:tblW w:w="956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0" w:type="dxa"/>
          <w:right w:w="110" w:type="dxa"/>
        </w:tblCellMar>
        <w:tblLook w:val="0000" w:firstRow="0" w:lastRow="0" w:firstColumn="0" w:lastColumn="0" w:noHBand="0" w:noVBand="0"/>
      </w:tblPr>
      <w:tblGrid>
        <w:gridCol w:w="4680"/>
        <w:gridCol w:w="4888"/>
      </w:tblGrid>
      <w:tr w:rsidR="000C1135" w:rsidRPr="001A1FD3" w14:paraId="48321F06" w14:textId="77777777" w:rsidTr="00E93551">
        <w:trPr>
          <w:cantSplit/>
        </w:trPr>
        <w:tc>
          <w:tcPr>
            <w:tcW w:w="4680" w:type="dxa"/>
            <w:tcBorders>
              <w:left w:val="nil"/>
            </w:tcBorders>
            <w:tcMar>
              <w:top w:w="120" w:type="dxa"/>
              <w:left w:w="120" w:type="dxa"/>
              <w:bottom w:w="58" w:type="dxa"/>
              <w:right w:w="120" w:type="dxa"/>
            </w:tcMar>
          </w:tcPr>
          <w:p w14:paraId="35C41B40" w14:textId="77777777" w:rsidR="000C1135" w:rsidRPr="001A1FD3" w:rsidRDefault="00E93551" w:rsidP="00490A26">
            <w:pPr>
              <w:rPr>
                <w:rFonts w:eastAsia="Times New Roman"/>
              </w:rPr>
            </w:pPr>
            <w:bookmarkStart w:id="0" w:name="27"/>
            <w:bookmarkEnd w:id="0"/>
            <w:r w:rsidRPr="001A1FD3">
              <w:rPr>
                <w:rFonts w:eastAsia="Times New Roman"/>
              </w:rPr>
              <w:t>UNITED STATES OF AMERICA</w:t>
            </w:r>
            <w:r w:rsidR="000C1135" w:rsidRPr="001A1FD3">
              <w:rPr>
                <w:rFonts w:eastAsia="Times New Roman"/>
              </w:rPr>
              <w:t>,</w:t>
            </w:r>
          </w:p>
          <w:p w14:paraId="3F563A9F" w14:textId="77777777" w:rsidR="000C1135" w:rsidRPr="001A1FD3" w:rsidRDefault="000C1135" w:rsidP="00490A26">
            <w:pPr>
              <w:rPr>
                <w:rFonts w:eastAsia="Times New Roman"/>
              </w:rPr>
            </w:pPr>
          </w:p>
          <w:p w14:paraId="6A13AD77" w14:textId="77777777" w:rsidR="000C1135" w:rsidRPr="001A1FD3" w:rsidRDefault="000C1135" w:rsidP="00490A26">
            <w:pPr>
              <w:rPr>
                <w:rFonts w:eastAsia="Times New Roman"/>
              </w:rPr>
            </w:pPr>
            <w:r w:rsidRPr="001A1FD3">
              <w:rPr>
                <w:rFonts w:eastAsia="Times New Roman"/>
              </w:rPr>
              <w:tab/>
            </w:r>
            <w:r w:rsidRPr="001A1FD3">
              <w:rPr>
                <w:rFonts w:eastAsia="Times New Roman"/>
              </w:rPr>
              <w:tab/>
              <w:t xml:space="preserve">                  </w:t>
            </w:r>
            <w:r w:rsidRPr="001A1FD3">
              <w:rPr>
                <w:rFonts w:eastAsia="Times New Roman"/>
                <w:i/>
              </w:rPr>
              <w:t>Plaintiff</w:t>
            </w:r>
            <w:r w:rsidRPr="001A1FD3">
              <w:rPr>
                <w:rFonts w:eastAsia="Times New Roman"/>
              </w:rPr>
              <w:t>,</w:t>
            </w:r>
          </w:p>
          <w:p w14:paraId="0FF2A7EB" w14:textId="77777777" w:rsidR="000C1135" w:rsidRPr="001A1FD3" w:rsidRDefault="000C1135" w:rsidP="00490A26">
            <w:pPr>
              <w:rPr>
                <w:rFonts w:eastAsia="Times New Roman"/>
              </w:rPr>
            </w:pPr>
          </w:p>
          <w:p w14:paraId="6B20953F" w14:textId="77777777" w:rsidR="000C1135" w:rsidRPr="001A1FD3" w:rsidRDefault="000C1135" w:rsidP="00490A26">
            <w:pPr>
              <w:rPr>
                <w:rFonts w:eastAsia="Times New Roman"/>
              </w:rPr>
            </w:pPr>
            <w:r w:rsidRPr="001A1FD3">
              <w:rPr>
                <w:rFonts w:eastAsia="Times New Roman"/>
              </w:rPr>
              <w:tab/>
              <w:t xml:space="preserve">           v.</w:t>
            </w:r>
          </w:p>
          <w:p w14:paraId="5C0A7889" w14:textId="77777777" w:rsidR="000C1135" w:rsidRPr="001A1FD3" w:rsidRDefault="000C1135" w:rsidP="00490A26">
            <w:pPr>
              <w:rPr>
                <w:rFonts w:eastAsia="Times New Roman"/>
              </w:rPr>
            </w:pPr>
          </w:p>
          <w:p w14:paraId="18BF1A48" w14:textId="77777777" w:rsidR="000C1135" w:rsidRPr="001A1FD3" w:rsidRDefault="00E93551" w:rsidP="00490A26">
            <w:pPr>
              <w:rPr>
                <w:rFonts w:eastAsia="Times New Roman"/>
              </w:rPr>
            </w:pPr>
            <w:bookmarkStart w:id="1" w:name="24"/>
            <w:bookmarkEnd w:id="1"/>
            <w:r w:rsidRPr="001A1FD3">
              <w:rPr>
                <w:rFonts w:eastAsia="Times New Roman"/>
              </w:rPr>
              <w:t>NOBEL LEARNING COMMUNITIES d/b/a CHESTERBROOK ACADEMY</w:t>
            </w:r>
            <w:r w:rsidR="000C1135" w:rsidRPr="001A1FD3">
              <w:rPr>
                <w:rFonts w:eastAsia="Times New Roman"/>
              </w:rPr>
              <w:t>,</w:t>
            </w:r>
          </w:p>
          <w:p w14:paraId="765FEEF4" w14:textId="77777777" w:rsidR="000C1135" w:rsidRPr="001A1FD3" w:rsidRDefault="000C1135" w:rsidP="00490A26">
            <w:pPr>
              <w:rPr>
                <w:rFonts w:eastAsia="Times New Roman"/>
              </w:rPr>
            </w:pPr>
          </w:p>
          <w:p w14:paraId="595F0CB0" w14:textId="77777777" w:rsidR="000C1135" w:rsidRPr="001A1FD3" w:rsidRDefault="000C1135" w:rsidP="00490A26">
            <w:pPr>
              <w:rPr>
                <w:rFonts w:eastAsia="Times New Roman"/>
              </w:rPr>
            </w:pPr>
            <w:r w:rsidRPr="001A1FD3">
              <w:rPr>
                <w:rFonts w:eastAsia="Times New Roman"/>
              </w:rPr>
              <w:tab/>
            </w:r>
            <w:r w:rsidRPr="001A1FD3">
              <w:rPr>
                <w:rFonts w:eastAsia="Times New Roman"/>
              </w:rPr>
              <w:tab/>
              <w:t xml:space="preserve">                 </w:t>
            </w:r>
            <w:r w:rsidRPr="001A1FD3">
              <w:rPr>
                <w:rFonts w:eastAsia="Times New Roman"/>
                <w:i/>
              </w:rPr>
              <w:t>Defendant</w:t>
            </w:r>
            <w:r w:rsidRPr="001A1FD3">
              <w:rPr>
                <w:rFonts w:eastAsia="Times New Roman"/>
              </w:rPr>
              <w:t>.</w:t>
            </w:r>
          </w:p>
        </w:tc>
        <w:tc>
          <w:tcPr>
            <w:tcW w:w="4888" w:type="dxa"/>
            <w:tcBorders>
              <w:top w:val="nil"/>
              <w:bottom w:val="nil"/>
              <w:right w:val="nil"/>
            </w:tcBorders>
            <w:tcMar>
              <w:top w:w="120" w:type="dxa"/>
              <w:left w:w="120" w:type="dxa"/>
              <w:bottom w:w="58" w:type="dxa"/>
              <w:right w:w="120" w:type="dxa"/>
            </w:tcMar>
          </w:tcPr>
          <w:p w14:paraId="2E769421" w14:textId="77777777" w:rsidR="000C1135" w:rsidRPr="001A1FD3" w:rsidRDefault="000C1135" w:rsidP="00490A26">
            <w:pPr>
              <w:rPr>
                <w:rFonts w:eastAsia="Times New Roman"/>
                <w:smallCaps/>
              </w:rPr>
            </w:pPr>
            <w:bookmarkStart w:id="2" w:name="25"/>
            <w:bookmarkEnd w:id="2"/>
          </w:p>
          <w:p w14:paraId="161D87D0" w14:textId="77777777" w:rsidR="000C1135" w:rsidRPr="001A1FD3" w:rsidRDefault="000C1135" w:rsidP="00490A26">
            <w:pPr>
              <w:jc w:val="center"/>
              <w:rPr>
                <w:rFonts w:eastAsia="Times New Roman"/>
                <w:i/>
              </w:rPr>
            </w:pPr>
          </w:p>
          <w:p w14:paraId="05EFF787" w14:textId="77777777" w:rsidR="000C1135" w:rsidRPr="001A1FD3" w:rsidRDefault="000C1135" w:rsidP="00490A26">
            <w:pPr>
              <w:rPr>
                <w:rFonts w:eastAsia="Times New Roman"/>
              </w:rPr>
            </w:pPr>
            <w:r w:rsidRPr="001A1FD3">
              <w:rPr>
                <w:rFonts w:eastAsia="Times New Roman"/>
              </w:rPr>
              <w:t>HON.</w:t>
            </w:r>
            <w:r w:rsidR="00E93551" w:rsidRPr="001A1FD3">
              <w:rPr>
                <w:rFonts w:eastAsia="Times New Roman"/>
              </w:rPr>
              <w:t xml:space="preserve"> NOEL L. HILLMAN</w:t>
            </w:r>
            <w:r w:rsidRPr="001A1FD3">
              <w:rPr>
                <w:rFonts w:eastAsia="Times New Roman"/>
              </w:rPr>
              <w:t xml:space="preserve">      </w:t>
            </w:r>
          </w:p>
          <w:p w14:paraId="61F7BC06" w14:textId="77777777" w:rsidR="000C1135" w:rsidRPr="001A1FD3" w:rsidRDefault="000C1135" w:rsidP="00490A26">
            <w:pPr>
              <w:rPr>
                <w:rFonts w:eastAsia="Times New Roman"/>
                <w:i/>
              </w:rPr>
            </w:pPr>
          </w:p>
          <w:p w14:paraId="77F5250B" w14:textId="77777777" w:rsidR="000C1135" w:rsidRPr="001A1FD3" w:rsidRDefault="000C1135" w:rsidP="00490A26">
            <w:pPr>
              <w:rPr>
                <w:rFonts w:eastAsia="Times New Roman"/>
                <w:caps/>
              </w:rPr>
            </w:pPr>
            <w:r w:rsidRPr="001A1FD3">
              <w:rPr>
                <w:rFonts w:eastAsia="Times New Roman"/>
                <w:i/>
              </w:rPr>
              <w:t xml:space="preserve">Civil Action No. </w:t>
            </w:r>
            <w:r w:rsidR="00E93551" w:rsidRPr="001A1FD3">
              <w:rPr>
                <w:rFonts w:eastAsia="Times New Roman"/>
              </w:rPr>
              <w:t>17</w:t>
            </w:r>
            <w:r w:rsidRPr="001A1FD3">
              <w:rPr>
                <w:rFonts w:eastAsia="Times New Roman"/>
              </w:rPr>
              <w:t>-</w:t>
            </w:r>
            <w:r w:rsidR="00E93551" w:rsidRPr="001A1FD3">
              <w:rPr>
                <w:rFonts w:eastAsia="Times New Roman"/>
              </w:rPr>
              <w:t xml:space="preserve">366 </w:t>
            </w:r>
            <w:r w:rsidRPr="001A1FD3">
              <w:rPr>
                <w:rFonts w:eastAsia="Times New Roman"/>
              </w:rPr>
              <w:t>(</w:t>
            </w:r>
            <w:r w:rsidR="00E93551" w:rsidRPr="001A1FD3">
              <w:rPr>
                <w:rFonts w:eastAsia="Times New Roman"/>
              </w:rPr>
              <w:t>NLH</w:t>
            </w:r>
            <w:r w:rsidRPr="001A1FD3">
              <w:rPr>
                <w:rFonts w:eastAsia="Times New Roman"/>
              </w:rPr>
              <w:t>) (</w:t>
            </w:r>
            <w:r w:rsidR="00E93551" w:rsidRPr="001A1FD3">
              <w:rPr>
                <w:rFonts w:eastAsia="Times New Roman"/>
              </w:rPr>
              <w:t>JS</w:t>
            </w:r>
            <w:r w:rsidRPr="001A1FD3">
              <w:rPr>
                <w:rFonts w:eastAsia="Times New Roman"/>
              </w:rPr>
              <w:t>)</w:t>
            </w:r>
          </w:p>
          <w:p w14:paraId="129B024C" w14:textId="77777777" w:rsidR="000C1135" w:rsidRPr="001A1FD3" w:rsidRDefault="000C1135" w:rsidP="00490A26">
            <w:pPr>
              <w:rPr>
                <w:rFonts w:eastAsia="Times New Roman"/>
                <w:caps/>
                <w:u w:val="single"/>
              </w:rPr>
            </w:pPr>
          </w:p>
          <w:p w14:paraId="5FB3D548" w14:textId="77777777" w:rsidR="000C1135" w:rsidRPr="001A1FD3" w:rsidRDefault="000C1135" w:rsidP="00490A26">
            <w:pPr>
              <w:rPr>
                <w:rFonts w:eastAsia="Times New Roman"/>
                <w:caps/>
                <w:u w:val="single"/>
              </w:rPr>
            </w:pPr>
          </w:p>
          <w:p w14:paraId="110A036D" w14:textId="77777777" w:rsidR="000C1135" w:rsidRPr="001A1FD3" w:rsidRDefault="000C1135" w:rsidP="00490A26">
            <w:pPr>
              <w:jc w:val="center"/>
              <w:rPr>
                <w:rFonts w:eastAsia="Times New Roman"/>
                <w:caps/>
                <w:u w:val="single"/>
              </w:rPr>
            </w:pPr>
          </w:p>
        </w:tc>
        <w:bookmarkStart w:id="3" w:name="_GoBack"/>
        <w:bookmarkEnd w:id="3"/>
      </w:tr>
    </w:tbl>
    <w:p w14:paraId="45DD0C62" w14:textId="77777777" w:rsidR="000C1135" w:rsidRPr="001A1FD3" w:rsidRDefault="000C1135" w:rsidP="000C1135">
      <w:pPr>
        <w:widowControl w:val="0"/>
        <w:spacing w:line="-19" w:lineRule="auto"/>
        <w:rPr>
          <w:rFonts w:eastAsia="Times New Roman"/>
        </w:rPr>
      </w:pPr>
    </w:p>
    <w:p w14:paraId="4C30F852" w14:textId="77777777" w:rsidR="000C1135" w:rsidRPr="001A1FD3" w:rsidRDefault="000C1135" w:rsidP="000C1135">
      <w:pPr>
        <w:widowControl w:val="0"/>
        <w:ind w:firstLine="720"/>
        <w:rPr>
          <w:rFonts w:eastAsia="Times New Roman"/>
        </w:rPr>
      </w:pPr>
    </w:p>
    <w:p w14:paraId="0DB35123" w14:textId="77777777" w:rsidR="000C1135" w:rsidRPr="001A1FD3" w:rsidRDefault="000C1135" w:rsidP="000C1135">
      <w:pPr>
        <w:widowControl w:val="0"/>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rPr>
      </w:pPr>
    </w:p>
    <w:p w14:paraId="333C5C0B" w14:textId="77777777" w:rsidR="000C1135" w:rsidRPr="001A1FD3" w:rsidRDefault="000C1135" w:rsidP="000C11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rPr>
      </w:pPr>
    </w:p>
    <w:p w14:paraId="2DA3F1E8" w14:textId="77777777" w:rsidR="000C1135" w:rsidRPr="001A1FD3" w:rsidRDefault="00D24D8B" w:rsidP="000C1135">
      <w:pPr>
        <w:widowControl w:val="0"/>
        <w:pBdr>
          <w:bottom w:val="single" w:sz="12" w:space="1" w:color="auto"/>
        </w:pBdr>
        <w:autoSpaceDE w:val="0"/>
        <w:autoSpaceDN w:val="0"/>
        <w:adjustRightInd w:val="0"/>
        <w:ind w:firstLine="25"/>
        <w:jc w:val="center"/>
        <w:rPr>
          <w:rFonts w:eastAsia="Times New Roman"/>
        </w:rPr>
      </w:pPr>
      <w:r w:rsidRPr="001A1FD3">
        <w:rPr>
          <w:rFonts w:eastAsia="Times New Roman"/>
        </w:rPr>
        <w:t xml:space="preserve">UNITED STATES’ </w:t>
      </w:r>
      <w:r w:rsidR="00E93551" w:rsidRPr="001A1FD3">
        <w:rPr>
          <w:rFonts w:eastAsia="Times New Roman"/>
        </w:rPr>
        <w:t xml:space="preserve">MEMORANDUM OF LAW IN OPPOSITION TO DEFENDANT’S MOTION </w:t>
      </w:r>
      <w:r w:rsidRPr="001A1FD3">
        <w:rPr>
          <w:rFonts w:eastAsia="Times New Roman"/>
        </w:rPr>
        <w:t>FOR A STAY AND FOR PARTIAL DISMISSAL</w:t>
      </w:r>
    </w:p>
    <w:p w14:paraId="058417F1" w14:textId="77777777" w:rsidR="000C1135" w:rsidRPr="001A1FD3" w:rsidRDefault="000C1135" w:rsidP="000C1135">
      <w:pPr>
        <w:widowControl w:val="0"/>
        <w:pBdr>
          <w:bottom w:val="single" w:sz="12" w:space="1" w:color="auto"/>
        </w:pBdr>
        <w:autoSpaceDE w:val="0"/>
        <w:autoSpaceDN w:val="0"/>
        <w:adjustRightInd w:val="0"/>
        <w:ind w:firstLine="25"/>
        <w:jc w:val="center"/>
        <w:rPr>
          <w:rFonts w:eastAsia="Times New Roman"/>
        </w:rPr>
      </w:pPr>
    </w:p>
    <w:p w14:paraId="3797370B" w14:textId="77777777" w:rsidR="000C1135" w:rsidRPr="001A1FD3" w:rsidRDefault="000C1135" w:rsidP="000C1135">
      <w:pPr>
        <w:rPr>
          <w:rFonts w:eastAsia="Times New Roman"/>
        </w:rPr>
      </w:pPr>
    </w:p>
    <w:p w14:paraId="3F276734" w14:textId="77777777" w:rsidR="000C1135" w:rsidRPr="001A1FD3" w:rsidRDefault="000C1135" w:rsidP="000C1135">
      <w:pPr>
        <w:jc w:val="center"/>
        <w:rPr>
          <w:rFonts w:eastAsia="Times New Roman"/>
        </w:rPr>
      </w:pPr>
    </w:p>
    <w:p w14:paraId="65AF174C" w14:textId="77777777" w:rsidR="000C1135" w:rsidRPr="001A1FD3" w:rsidRDefault="000C1135" w:rsidP="000C11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25"/>
        <w:rPr>
          <w:rFonts w:eastAsia="Times New Roman"/>
        </w:rPr>
      </w:pPr>
      <w:r w:rsidRPr="001A1FD3">
        <w:rPr>
          <w:rFonts w:eastAsia="Times New Roman"/>
        </w:rPr>
        <w:tab/>
      </w:r>
      <w:r w:rsidRPr="001A1FD3">
        <w:rPr>
          <w:rFonts w:eastAsia="Times New Roman"/>
        </w:rPr>
        <w:tab/>
      </w:r>
      <w:r w:rsidRPr="001A1FD3">
        <w:rPr>
          <w:rFonts w:eastAsia="Times New Roman"/>
        </w:rPr>
        <w:tab/>
      </w:r>
      <w:r w:rsidRPr="001A1FD3">
        <w:rPr>
          <w:rFonts w:eastAsia="Times New Roman"/>
        </w:rPr>
        <w:tab/>
      </w:r>
      <w:r w:rsidRPr="001A1FD3">
        <w:rPr>
          <w:rFonts w:eastAsia="Times New Roman"/>
        </w:rPr>
        <w:tab/>
      </w:r>
      <w:r w:rsidR="0004130A" w:rsidRPr="001A1FD3">
        <w:rPr>
          <w:rFonts w:eastAsia="Times New Roman"/>
        </w:rPr>
        <w:t>WILLIAM E. FITZPATRICK</w:t>
      </w:r>
    </w:p>
    <w:p w14:paraId="091D9D8C" w14:textId="77777777" w:rsidR="000C1135" w:rsidRPr="001A1FD3" w:rsidRDefault="000C1135" w:rsidP="000C11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rPr>
      </w:pPr>
      <w:r w:rsidRPr="001A1FD3">
        <w:rPr>
          <w:rFonts w:eastAsia="Times New Roman"/>
        </w:rPr>
        <w:tab/>
      </w:r>
      <w:r w:rsidRPr="001A1FD3">
        <w:rPr>
          <w:rFonts w:eastAsia="Times New Roman"/>
        </w:rPr>
        <w:tab/>
      </w:r>
      <w:r w:rsidRPr="001A1FD3">
        <w:rPr>
          <w:rFonts w:eastAsia="Times New Roman"/>
        </w:rPr>
        <w:tab/>
      </w:r>
      <w:r w:rsidRPr="001A1FD3">
        <w:rPr>
          <w:rFonts w:eastAsia="Times New Roman"/>
        </w:rPr>
        <w:tab/>
      </w:r>
      <w:r w:rsidRPr="001A1FD3">
        <w:rPr>
          <w:rFonts w:eastAsia="Times New Roman"/>
        </w:rPr>
        <w:tab/>
      </w:r>
      <w:r w:rsidR="0004130A" w:rsidRPr="001A1FD3">
        <w:rPr>
          <w:rFonts w:eastAsia="Times New Roman"/>
        </w:rPr>
        <w:t xml:space="preserve">ACTING </w:t>
      </w:r>
      <w:r w:rsidRPr="001A1FD3">
        <w:rPr>
          <w:rFonts w:eastAsia="Times New Roman"/>
        </w:rPr>
        <w:t>UNITED STATES ATTORNEY</w:t>
      </w:r>
    </w:p>
    <w:p w14:paraId="5031BCA8" w14:textId="77777777" w:rsidR="000C1135" w:rsidRPr="001A1FD3" w:rsidRDefault="000C1135" w:rsidP="000C11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eastAsia="Times New Roman"/>
          <w:i/>
        </w:rPr>
      </w:pPr>
      <w:r w:rsidRPr="001A1FD3">
        <w:rPr>
          <w:rFonts w:eastAsia="Times New Roman"/>
        </w:rPr>
        <w:tab/>
      </w:r>
      <w:r w:rsidRPr="001A1FD3">
        <w:rPr>
          <w:rFonts w:eastAsia="Times New Roman"/>
        </w:rPr>
        <w:tab/>
      </w:r>
      <w:r w:rsidRPr="001A1FD3">
        <w:rPr>
          <w:rFonts w:eastAsia="Times New Roman"/>
        </w:rPr>
        <w:tab/>
      </w:r>
      <w:r w:rsidRPr="001A1FD3">
        <w:rPr>
          <w:rFonts w:eastAsia="Times New Roman"/>
        </w:rPr>
        <w:tab/>
      </w:r>
      <w:r w:rsidRPr="001A1FD3">
        <w:rPr>
          <w:rFonts w:eastAsia="Times New Roman"/>
        </w:rPr>
        <w:tab/>
      </w:r>
      <w:r w:rsidR="00E93551" w:rsidRPr="001A1FD3">
        <w:rPr>
          <w:rFonts w:eastAsia="Times New Roman"/>
          <w:i/>
        </w:rPr>
        <w:t>Attorney for the United States of America</w:t>
      </w:r>
    </w:p>
    <w:p w14:paraId="1F1F46BC" w14:textId="77777777" w:rsidR="000C1135" w:rsidRPr="001A1FD3" w:rsidRDefault="000C1135" w:rsidP="000C1135">
      <w:pPr>
        <w:autoSpaceDE w:val="0"/>
        <w:autoSpaceDN w:val="0"/>
        <w:adjustRightInd w:val="0"/>
        <w:rPr>
          <w:bCs/>
        </w:rPr>
      </w:pPr>
    </w:p>
    <w:p w14:paraId="0DE95BA3" w14:textId="77777777" w:rsidR="000C1135" w:rsidRPr="001A1FD3" w:rsidRDefault="000C1135" w:rsidP="000C1135">
      <w:pPr>
        <w:autoSpaceDE w:val="0"/>
        <w:autoSpaceDN w:val="0"/>
        <w:adjustRightInd w:val="0"/>
        <w:rPr>
          <w:bCs/>
        </w:rPr>
      </w:pPr>
    </w:p>
    <w:p w14:paraId="4C6D3EAD" w14:textId="77777777" w:rsidR="000C1135" w:rsidRPr="001A1FD3" w:rsidRDefault="00E93551" w:rsidP="000C1135">
      <w:pPr>
        <w:autoSpaceDE w:val="0"/>
        <w:autoSpaceDN w:val="0"/>
        <w:adjustRightInd w:val="0"/>
        <w:rPr>
          <w:bCs/>
          <w:i/>
        </w:rPr>
      </w:pPr>
      <w:r w:rsidRPr="001A1FD3">
        <w:rPr>
          <w:bCs/>
          <w:i/>
        </w:rPr>
        <w:t>On the brief:</w:t>
      </w:r>
    </w:p>
    <w:p w14:paraId="160A511C" w14:textId="77777777" w:rsidR="00E93551" w:rsidRPr="001A1FD3" w:rsidRDefault="00E93551" w:rsidP="000C1135">
      <w:pPr>
        <w:autoSpaceDE w:val="0"/>
        <w:autoSpaceDN w:val="0"/>
        <w:adjustRightInd w:val="0"/>
        <w:rPr>
          <w:bCs/>
          <w:i/>
        </w:rPr>
      </w:pPr>
    </w:p>
    <w:p w14:paraId="24D665FB" w14:textId="77777777" w:rsidR="00E93551" w:rsidRPr="001A1FD3" w:rsidRDefault="00E93551" w:rsidP="000C1135">
      <w:pPr>
        <w:autoSpaceDE w:val="0"/>
        <w:autoSpaceDN w:val="0"/>
        <w:adjustRightInd w:val="0"/>
        <w:rPr>
          <w:bCs/>
        </w:rPr>
      </w:pPr>
      <w:r w:rsidRPr="001A1FD3">
        <w:rPr>
          <w:bCs/>
        </w:rPr>
        <w:t>JORDAN M. ANGER</w:t>
      </w:r>
    </w:p>
    <w:p w14:paraId="50131A9C" w14:textId="77777777" w:rsidR="000C1135" w:rsidRPr="001A1FD3" w:rsidRDefault="00E93551" w:rsidP="000C1135">
      <w:pPr>
        <w:autoSpaceDE w:val="0"/>
        <w:autoSpaceDN w:val="0"/>
        <w:adjustRightInd w:val="0"/>
        <w:rPr>
          <w:bCs/>
        </w:rPr>
      </w:pPr>
      <w:r w:rsidRPr="001A1FD3">
        <w:rPr>
          <w:bCs/>
        </w:rPr>
        <w:t>DAVID V. SIMUNOVICH</w:t>
      </w:r>
      <w:r w:rsidR="000C1135" w:rsidRPr="001A1FD3">
        <w:rPr>
          <w:bCs/>
        </w:rPr>
        <w:tab/>
      </w:r>
      <w:r w:rsidR="000C1135" w:rsidRPr="001A1FD3">
        <w:rPr>
          <w:bCs/>
        </w:rPr>
        <w:tab/>
      </w:r>
      <w:r w:rsidR="000C1135" w:rsidRPr="001A1FD3">
        <w:rPr>
          <w:bCs/>
        </w:rPr>
        <w:tab/>
      </w:r>
      <w:r w:rsidR="000C1135" w:rsidRPr="001A1FD3">
        <w:rPr>
          <w:bCs/>
        </w:rPr>
        <w:tab/>
      </w:r>
      <w:r w:rsidR="000C1135" w:rsidRPr="001A1FD3">
        <w:rPr>
          <w:bCs/>
        </w:rPr>
        <w:tab/>
      </w:r>
      <w:r w:rsidR="000C1135" w:rsidRPr="001A1FD3">
        <w:rPr>
          <w:bCs/>
        </w:rPr>
        <w:tab/>
      </w:r>
      <w:r w:rsidR="000C1135" w:rsidRPr="001A1FD3">
        <w:rPr>
          <w:bCs/>
        </w:rPr>
        <w:tab/>
      </w:r>
    </w:p>
    <w:p w14:paraId="07DE224D" w14:textId="77777777" w:rsidR="002C77A8" w:rsidRDefault="000C1135" w:rsidP="000C1135">
      <w:pPr>
        <w:autoSpaceDE w:val="0"/>
        <w:autoSpaceDN w:val="0"/>
        <w:adjustRightInd w:val="0"/>
        <w:rPr>
          <w:bCs/>
        </w:rPr>
        <w:sectPr w:rsidR="002C77A8" w:rsidSect="00DC78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r w:rsidRPr="001A1FD3">
        <w:rPr>
          <w:bCs/>
        </w:rPr>
        <w:t>Assistant United States Attorney</w:t>
      </w:r>
      <w:r w:rsidR="00742302" w:rsidRPr="001A1FD3">
        <w:rPr>
          <w:bCs/>
        </w:rPr>
        <w:t>s</w:t>
      </w:r>
    </w:p>
    <w:p w14:paraId="54679F6C" w14:textId="77777777" w:rsidR="000C1135" w:rsidRPr="001A1FD3" w:rsidRDefault="000C1135" w:rsidP="00BE5EE8">
      <w:pPr>
        <w:pStyle w:val="Heading1"/>
        <w:rPr>
          <w:szCs w:val="24"/>
        </w:rPr>
      </w:pPr>
      <w:bookmarkStart w:id="4" w:name="_Toc462302836"/>
      <w:bookmarkStart w:id="5" w:name="_Toc481414265"/>
      <w:r w:rsidRPr="002C77A8">
        <w:rPr>
          <w:szCs w:val="24"/>
        </w:rPr>
        <w:lastRenderedPageBreak/>
        <w:t>TABLE OF CONTENTS</w:t>
      </w:r>
      <w:bookmarkEnd w:id="4"/>
      <w:bookmarkEnd w:id="5"/>
      <w:r w:rsidRPr="001A1FD3">
        <w:rPr>
          <w:szCs w:val="24"/>
        </w:rPr>
        <w:t xml:space="preserve"> </w:t>
      </w:r>
    </w:p>
    <w:p w14:paraId="17B3B450" w14:textId="77777777" w:rsidR="002C77A8" w:rsidRDefault="002C77A8" w:rsidP="00BE5EE8">
      <w:pPr>
        <w:pStyle w:val="TOC1"/>
        <w:tabs>
          <w:tab w:val="right" w:leader="dot" w:pos="9350"/>
        </w:tabs>
      </w:pPr>
    </w:p>
    <w:p w14:paraId="4B99BA1A" w14:textId="54427FD6" w:rsidR="002C77A8" w:rsidRPr="002C77A8" w:rsidRDefault="002C77A8" w:rsidP="00BE5EE8">
      <w:pPr>
        <w:pStyle w:val="TOC1"/>
        <w:tabs>
          <w:tab w:val="right" w:leader="dot" w:pos="9350"/>
        </w:tabs>
        <w:spacing w:after="0"/>
        <w:rPr>
          <w:rFonts w:asciiTheme="minorHAnsi" w:eastAsiaTheme="minorEastAsia" w:hAnsiTheme="minorHAnsi" w:cstheme="minorBidi"/>
          <w:noProof/>
          <w:sz w:val="22"/>
          <w:szCs w:val="22"/>
        </w:rPr>
      </w:pPr>
      <w:r w:rsidRPr="002C77A8">
        <w:fldChar w:fldCharType="begin"/>
      </w:r>
      <w:r w:rsidRPr="002C77A8">
        <w:instrText xml:space="preserve"> TOC \o "1-3" \h \z \u </w:instrText>
      </w:r>
      <w:r w:rsidRPr="002C77A8">
        <w:fldChar w:fldCharType="separate"/>
      </w:r>
      <w:hyperlink w:anchor="_Toc481414265" w:history="1">
        <w:r w:rsidRPr="002C77A8">
          <w:rPr>
            <w:rStyle w:val="Hyperlink"/>
            <w:noProof/>
          </w:rPr>
          <w:t>TABLE OF CONTENTS</w:t>
        </w:r>
        <w:r w:rsidRPr="002C77A8">
          <w:rPr>
            <w:noProof/>
            <w:webHidden/>
          </w:rPr>
          <w:tab/>
        </w:r>
        <w:r w:rsidRPr="002C77A8">
          <w:rPr>
            <w:noProof/>
            <w:webHidden/>
          </w:rPr>
          <w:fldChar w:fldCharType="begin"/>
        </w:r>
        <w:r w:rsidRPr="002C77A8">
          <w:rPr>
            <w:noProof/>
            <w:webHidden/>
          </w:rPr>
          <w:instrText xml:space="preserve"> PAGEREF _Toc481414265 \h </w:instrText>
        </w:r>
        <w:r w:rsidRPr="002C77A8">
          <w:rPr>
            <w:noProof/>
            <w:webHidden/>
          </w:rPr>
        </w:r>
        <w:r w:rsidRPr="002C77A8">
          <w:rPr>
            <w:noProof/>
            <w:webHidden/>
          </w:rPr>
          <w:fldChar w:fldCharType="separate"/>
        </w:r>
        <w:r w:rsidR="004A22BA">
          <w:rPr>
            <w:noProof/>
            <w:webHidden/>
          </w:rPr>
          <w:t>i</w:t>
        </w:r>
        <w:r w:rsidRPr="002C77A8">
          <w:rPr>
            <w:noProof/>
            <w:webHidden/>
          </w:rPr>
          <w:fldChar w:fldCharType="end"/>
        </w:r>
      </w:hyperlink>
    </w:p>
    <w:p w14:paraId="1EC5B9D1" w14:textId="77777777" w:rsidR="002C77A8" w:rsidRDefault="002C77A8" w:rsidP="00BE5EE8">
      <w:pPr>
        <w:pStyle w:val="TOC1"/>
        <w:tabs>
          <w:tab w:val="right" w:leader="dot" w:pos="9350"/>
        </w:tabs>
        <w:spacing w:after="0"/>
        <w:rPr>
          <w:rStyle w:val="Hyperlink"/>
          <w:noProof/>
        </w:rPr>
      </w:pPr>
    </w:p>
    <w:p w14:paraId="638543CC" w14:textId="2783D738" w:rsidR="002C77A8" w:rsidRPr="002C77A8" w:rsidRDefault="002377BD" w:rsidP="00BE5EE8">
      <w:pPr>
        <w:pStyle w:val="TOC1"/>
        <w:tabs>
          <w:tab w:val="right" w:leader="dot" w:pos="9350"/>
        </w:tabs>
        <w:spacing w:after="0"/>
        <w:rPr>
          <w:rFonts w:asciiTheme="minorHAnsi" w:eastAsiaTheme="minorEastAsia" w:hAnsiTheme="minorHAnsi" w:cstheme="minorBidi"/>
          <w:noProof/>
          <w:sz w:val="22"/>
          <w:szCs w:val="22"/>
        </w:rPr>
      </w:pPr>
      <w:hyperlink w:anchor="_Toc481414266" w:history="1">
        <w:r w:rsidR="002C77A8" w:rsidRPr="002C77A8">
          <w:rPr>
            <w:rStyle w:val="Hyperlink"/>
            <w:noProof/>
          </w:rPr>
          <w:t>TABLE OF AUTHORITIES</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_Toc481414266 \h </w:instrText>
        </w:r>
        <w:r w:rsidR="002C77A8" w:rsidRPr="002C77A8">
          <w:rPr>
            <w:noProof/>
            <w:webHidden/>
          </w:rPr>
        </w:r>
        <w:r w:rsidR="002C77A8" w:rsidRPr="002C77A8">
          <w:rPr>
            <w:noProof/>
            <w:webHidden/>
          </w:rPr>
          <w:fldChar w:fldCharType="separate"/>
        </w:r>
        <w:r w:rsidR="004A22BA">
          <w:rPr>
            <w:noProof/>
            <w:webHidden/>
          </w:rPr>
          <w:t>ii</w:t>
        </w:r>
        <w:r w:rsidR="002C77A8" w:rsidRPr="002C77A8">
          <w:rPr>
            <w:noProof/>
            <w:webHidden/>
          </w:rPr>
          <w:fldChar w:fldCharType="end"/>
        </w:r>
      </w:hyperlink>
    </w:p>
    <w:p w14:paraId="0D473665" w14:textId="77777777" w:rsidR="002C77A8" w:rsidRDefault="002C77A8" w:rsidP="00BE5EE8">
      <w:pPr>
        <w:pStyle w:val="TOC1"/>
        <w:tabs>
          <w:tab w:val="right" w:leader="dot" w:pos="9350"/>
        </w:tabs>
        <w:spacing w:after="0"/>
        <w:rPr>
          <w:rStyle w:val="Hyperlink"/>
          <w:noProof/>
        </w:rPr>
      </w:pPr>
    </w:p>
    <w:p w14:paraId="0A86C679" w14:textId="659F8CED" w:rsidR="002C77A8" w:rsidRPr="002C77A8" w:rsidRDefault="006208CA" w:rsidP="00BE5EE8">
      <w:pPr>
        <w:pStyle w:val="TOC1"/>
        <w:tabs>
          <w:tab w:val="right" w:leader="dot" w:pos="9350"/>
        </w:tabs>
        <w:spacing w:after="0"/>
        <w:rPr>
          <w:rFonts w:asciiTheme="minorHAnsi" w:eastAsiaTheme="minorEastAsia" w:hAnsiTheme="minorHAnsi" w:cstheme="minorBidi"/>
          <w:noProof/>
          <w:sz w:val="22"/>
          <w:szCs w:val="22"/>
        </w:rPr>
      </w:pPr>
      <w:hyperlink w:anchor="_Toc481414267" w:history="1">
        <w:r w:rsidR="002C77A8" w:rsidRPr="002C77A8">
          <w:rPr>
            <w:rStyle w:val="Hyperlink"/>
            <w:noProof/>
          </w:rPr>
          <w:t>PRELIMINARY STATEMENT</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_Toc481414267 \h </w:instrText>
        </w:r>
        <w:r w:rsidR="002C77A8" w:rsidRPr="002C77A8">
          <w:rPr>
            <w:noProof/>
            <w:webHidden/>
          </w:rPr>
        </w:r>
        <w:r w:rsidR="002C77A8" w:rsidRPr="002C77A8">
          <w:rPr>
            <w:noProof/>
            <w:webHidden/>
          </w:rPr>
          <w:fldChar w:fldCharType="separate"/>
        </w:r>
        <w:r w:rsidR="004A22BA">
          <w:rPr>
            <w:noProof/>
            <w:webHidden/>
          </w:rPr>
          <w:t>1</w:t>
        </w:r>
        <w:r w:rsidR="002C77A8" w:rsidRPr="002C77A8">
          <w:rPr>
            <w:noProof/>
            <w:webHidden/>
          </w:rPr>
          <w:fldChar w:fldCharType="end"/>
        </w:r>
      </w:hyperlink>
    </w:p>
    <w:p w14:paraId="2F2FD0B0" w14:textId="77777777" w:rsidR="002C77A8" w:rsidRDefault="002C77A8" w:rsidP="00BE5EE8">
      <w:pPr>
        <w:pStyle w:val="TOC1"/>
        <w:tabs>
          <w:tab w:val="right" w:leader="dot" w:pos="9350"/>
        </w:tabs>
        <w:spacing w:after="0"/>
        <w:rPr>
          <w:rStyle w:val="Hyperlink"/>
          <w:noProof/>
        </w:rPr>
      </w:pPr>
    </w:p>
    <w:p w14:paraId="6F78CFDE" w14:textId="367B8C75" w:rsidR="002C77A8" w:rsidRPr="002C77A8" w:rsidRDefault="006208CA" w:rsidP="00BE5EE8">
      <w:pPr>
        <w:pStyle w:val="TOC1"/>
        <w:tabs>
          <w:tab w:val="right" w:leader="dot" w:pos="9350"/>
        </w:tabs>
        <w:spacing w:after="0"/>
        <w:rPr>
          <w:rFonts w:asciiTheme="minorHAnsi" w:eastAsiaTheme="minorEastAsia" w:hAnsiTheme="minorHAnsi" w:cstheme="minorBidi"/>
          <w:noProof/>
          <w:sz w:val="22"/>
          <w:szCs w:val="22"/>
        </w:rPr>
      </w:pPr>
      <w:hyperlink w:anchor="_Toc481414268" w:history="1">
        <w:r w:rsidR="002C77A8" w:rsidRPr="002C77A8">
          <w:rPr>
            <w:rStyle w:val="Hyperlink"/>
            <w:noProof/>
          </w:rPr>
          <w:t>BACKGROUND</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_Toc481414268 \h </w:instrText>
        </w:r>
        <w:r w:rsidR="002C77A8" w:rsidRPr="002C77A8">
          <w:rPr>
            <w:noProof/>
            <w:webHidden/>
          </w:rPr>
        </w:r>
        <w:r w:rsidR="002C77A8" w:rsidRPr="002C77A8">
          <w:rPr>
            <w:noProof/>
            <w:webHidden/>
          </w:rPr>
          <w:fldChar w:fldCharType="separate"/>
        </w:r>
        <w:r w:rsidR="004A22BA">
          <w:rPr>
            <w:noProof/>
            <w:webHidden/>
          </w:rPr>
          <w:t>3</w:t>
        </w:r>
        <w:r w:rsidR="002C77A8" w:rsidRPr="002C77A8">
          <w:rPr>
            <w:noProof/>
            <w:webHidden/>
          </w:rPr>
          <w:fldChar w:fldCharType="end"/>
        </w:r>
      </w:hyperlink>
    </w:p>
    <w:p w14:paraId="0CFB399E" w14:textId="77777777" w:rsidR="002C77A8" w:rsidRDefault="002C77A8" w:rsidP="00BE5EE8">
      <w:pPr>
        <w:pStyle w:val="TOC1"/>
        <w:tabs>
          <w:tab w:val="right" w:leader="dot" w:pos="9350"/>
        </w:tabs>
        <w:spacing w:after="0"/>
        <w:rPr>
          <w:rStyle w:val="Hyperlink"/>
          <w:noProof/>
        </w:rPr>
      </w:pPr>
    </w:p>
    <w:p w14:paraId="08CB7588" w14:textId="68C78ABE" w:rsidR="002C77A8" w:rsidRPr="002C77A8" w:rsidRDefault="006208CA" w:rsidP="00BE5EE8">
      <w:pPr>
        <w:pStyle w:val="TOC1"/>
        <w:tabs>
          <w:tab w:val="right" w:leader="dot" w:pos="9350"/>
        </w:tabs>
        <w:spacing w:after="0"/>
        <w:rPr>
          <w:rFonts w:asciiTheme="minorHAnsi" w:eastAsiaTheme="minorEastAsia" w:hAnsiTheme="minorHAnsi" w:cstheme="minorBidi"/>
          <w:noProof/>
          <w:sz w:val="22"/>
          <w:szCs w:val="22"/>
        </w:rPr>
      </w:pPr>
      <w:hyperlink w:anchor="_Toc481414269" w:history="1">
        <w:r w:rsidR="002C77A8" w:rsidRPr="002C77A8">
          <w:rPr>
            <w:rStyle w:val="Hyperlink"/>
            <w:noProof/>
          </w:rPr>
          <w:t>OVERVIEW OF THE ADA</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_Toc481414269 \h </w:instrText>
        </w:r>
        <w:r w:rsidR="002C77A8" w:rsidRPr="002C77A8">
          <w:rPr>
            <w:noProof/>
            <w:webHidden/>
          </w:rPr>
        </w:r>
        <w:r w:rsidR="002C77A8" w:rsidRPr="002C77A8">
          <w:rPr>
            <w:noProof/>
            <w:webHidden/>
          </w:rPr>
          <w:fldChar w:fldCharType="separate"/>
        </w:r>
        <w:r w:rsidR="004A22BA">
          <w:rPr>
            <w:noProof/>
            <w:webHidden/>
          </w:rPr>
          <w:t>5</w:t>
        </w:r>
        <w:r w:rsidR="002C77A8" w:rsidRPr="002C77A8">
          <w:rPr>
            <w:noProof/>
            <w:webHidden/>
          </w:rPr>
          <w:fldChar w:fldCharType="end"/>
        </w:r>
      </w:hyperlink>
    </w:p>
    <w:p w14:paraId="64A76FDC" w14:textId="77777777" w:rsidR="002C77A8" w:rsidRDefault="002C77A8" w:rsidP="00BE5EE8">
      <w:pPr>
        <w:pStyle w:val="TOC1"/>
        <w:tabs>
          <w:tab w:val="right" w:leader="dot" w:pos="9350"/>
        </w:tabs>
        <w:spacing w:after="0"/>
        <w:rPr>
          <w:rStyle w:val="Hyperlink"/>
          <w:noProof/>
        </w:rPr>
      </w:pPr>
    </w:p>
    <w:p w14:paraId="00689BE1" w14:textId="2A2BAE74" w:rsidR="002C77A8" w:rsidRPr="002C77A8" w:rsidRDefault="006208CA" w:rsidP="00BE5EE8">
      <w:pPr>
        <w:pStyle w:val="TOC1"/>
        <w:tabs>
          <w:tab w:val="right" w:leader="dot" w:pos="9350"/>
        </w:tabs>
        <w:spacing w:after="0"/>
        <w:rPr>
          <w:rFonts w:asciiTheme="minorHAnsi" w:eastAsiaTheme="minorEastAsia" w:hAnsiTheme="minorHAnsi" w:cstheme="minorBidi"/>
          <w:noProof/>
          <w:sz w:val="22"/>
          <w:szCs w:val="22"/>
        </w:rPr>
      </w:pPr>
      <w:hyperlink w:anchor="_Toc481414270" w:history="1">
        <w:r w:rsidR="002C77A8" w:rsidRPr="002C77A8">
          <w:rPr>
            <w:rStyle w:val="Hyperlink"/>
            <w:noProof/>
          </w:rPr>
          <w:t>ARGUMENT</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_Toc481414270 \h </w:instrText>
        </w:r>
        <w:r w:rsidR="002C77A8" w:rsidRPr="002C77A8">
          <w:rPr>
            <w:noProof/>
            <w:webHidden/>
          </w:rPr>
        </w:r>
        <w:r w:rsidR="002C77A8" w:rsidRPr="002C77A8">
          <w:rPr>
            <w:noProof/>
            <w:webHidden/>
          </w:rPr>
          <w:fldChar w:fldCharType="separate"/>
        </w:r>
        <w:r w:rsidR="004A22BA">
          <w:rPr>
            <w:noProof/>
            <w:webHidden/>
          </w:rPr>
          <w:t>7</w:t>
        </w:r>
        <w:r w:rsidR="002C77A8" w:rsidRPr="002C77A8">
          <w:rPr>
            <w:noProof/>
            <w:webHidden/>
          </w:rPr>
          <w:fldChar w:fldCharType="end"/>
        </w:r>
      </w:hyperlink>
    </w:p>
    <w:p w14:paraId="55815BCB" w14:textId="77777777" w:rsidR="002C77A8" w:rsidRDefault="002C77A8" w:rsidP="00BE5EE8">
      <w:pPr>
        <w:pStyle w:val="TOC2"/>
        <w:spacing w:after="0"/>
        <w:rPr>
          <w:rStyle w:val="Hyperlink"/>
          <w:noProof/>
        </w:rPr>
      </w:pPr>
    </w:p>
    <w:p w14:paraId="4830C66D" w14:textId="1EC006B9" w:rsidR="002C77A8" w:rsidRPr="002C77A8" w:rsidRDefault="006208CA" w:rsidP="00BE5EE8">
      <w:pPr>
        <w:pStyle w:val="TOC2"/>
        <w:spacing w:after="0"/>
        <w:rPr>
          <w:rFonts w:asciiTheme="minorHAnsi" w:eastAsiaTheme="minorEastAsia" w:hAnsiTheme="minorHAnsi" w:cstheme="minorBidi"/>
          <w:noProof/>
          <w:sz w:val="22"/>
          <w:szCs w:val="22"/>
        </w:rPr>
      </w:pPr>
      <w:hyperlink w:anchor="_Toc481414271" w:history="1">
        <w:r w:rsidR="002C77A8" w:rsidRPr="002C77A8">
          <w:rPr>
            <w:rStyle w:val="Hyperlink"/>
            <w:noProof/>
          </w:rPr>
          <w:t>I.</w:t>
        </w:r>
        <w:r w:rsidR="002C77A8" w:rsidRPr="002C77A8">
          <w:rPr>
            <w:rFonts w:asciiTheme="minorHAnsi" w:eastAsiaTheme="minorEastAsia" w:hAnsiTheme="minorHAnsi" w:cstheme="minorBidi"/>
            <w:noProof/>
            <w:sz w:val="22"/>
            <w:szCs w:val="22"/>
          </w:rPr>
          <w:tab/>
        </w:r>
        <w:r w:rsidR="002C77A8" w:rsidRPr="002C77A8">
          <w:rPr>
            <w:rStyle w:val="Hyperlink"/>
            <w:noProof/>
          </w:rPr>
          <w:t>THE COURT SHOULD REJECT NLC’S REQUEST FOR A STAY</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_Toc481414271 \h </w:instrText>
        </w:r>
        <w:r w:rsidR="002C77A8" w:rsidRPr="002C77A8">
          <w:rPr>
            <w:noProof/>
            <w:webHidden/>
          </w:rPr>
        </w:r>
        <w:r w:rsidR="002C77A8" w:rsidRPr="002C77A8">
          <w:rPr>
            <w:noProof/>
            <w:webHidden/>
          </w:rPr>
          <w:fldChar w:fldCharType="separate"/>
        </w:r>
        <w:r w:rsidR="004A22BA">
          <w:rPr>
            <w:noProof/>
            <w:webHidden/>
          </w:rPr>
          <w:t>7</w:t>
        </w:r>
        <w:r w:rsidR="002C77A8" w:rsidRPr="002C77A8">
          <w:rPr>
            <w:noProof/>
            <w:webHidden/>
          </w:rPr>
          <w:fldChar w:fldCharType="end"/>
        </w:r>
      </w:hyperlink>
    </w:p>
    <w:p w14:paraId="23D5A4E6" w14:textId="77777777" w:rsidR="002C77A8" w:rsidRDefault="002C77A8" w:rsidP="00BE5EE8">
      <w:pPr>
        <w:pStyle w:val="TOC3"/>
        <w:spacing w:after="0"/>
        <w:rPr>
          <w:rStyle w:val="Hyperlink"/>
          <w:noProof/>
        </w:rPr>
      </w:pPr>
    </w:p>
    <w:p w14:paraId="12392C94" w14:textId="5C223C78" w:rsidR="002C77A8" w:rsidRPr="002C77A8" w:rsidRDefault="006208CA" w:rsidP="00BE5EE8">
      <w:pPr>
        <w:pStyle w:val="TOC3"/>
        <w:spacing w:after="0"/>
        <w:rPr>
          <w:rFonts w:asciiTheme="minorHAnsi" w:eastAsiaTheme="minorEastAsia" w:hAnsiTheme="minorHAnsi" w:cstheme="minorBidi"/>
          <w:noProof/>
          <w:sz w:val="22"/>
          <w:szCs w:val="22"/>
        </w:rPr>
      </w:pPr>
      <w:hyperlink w:anchor="_Toc481414272" w:history="1">
        <w:r w:rsidR="002C77A8" w:rsidRPr="002C77A8">
          <w:rPr>
            <w:rStyle w:val="Hyperlink"/>
            <w:noProof/>
          </w:rPr>
          <w:t>A.</w:t>
        </w:r>
        <w:r w:rsidR="002C77A8" w:rsidRPr="002C77A8">
          <w:rPr>
            <w:rFonts w:asciiTheme="minorHAnsi" w:eastAsiaTheme="minorEastAsia" w:hAnsiTheme="minorHAnsi" w:cstheme="minorBidi"/>
            <w:noProof/>
            <w:sz w:val="22"/>
            <w:szCs w:val="22"/>
          </w:rPr>
          <w:tab/>
        </w:r>
        <w:r w:rsidR="002C77A8" w:rsidRPr="002C77A8">
          <w:rPr>
            <w:rStyle w:val="Hyperlink"/>
            <w:i/>
            <w:noProof/>
          </w:rPr>
          <w:t>Colorado River</w:t>
        </w:r>
        <w:r w:rsidR="002C77A8" w:rsidRPr="002C77A8">
          <w:rPr>
            <w:rStyle w:val="Hyperlink"/>
            <w:noProof/>
          </w:rPr>
          <w:t xml:space="preserve"> Does Not Apply Here</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_Toc481414272 \h </w:instrText>
        </w:r>
        <w:r w:rsidR="002C77A8" w:rsidRPr="002C77A8">
          <w:rPr>
            <w:noProof/>
            <w:webHidden/>
          </w:rPr>
        </w:r>
        <w:r w:rsidR="002C77A8" w:rsidRPr="002C77A8">
          <w:rPr>
            <w:noProof/>
            <w:webHidden/>
          </w:rPr>
          <w:fldChar w:fldCharType="separate"/>
        </w:r>
        <w:r w:rsidR="004A22BA">
          <w:rPr>
            <w:noProof/>
            <w:webHidden/>
          </w:rPr>
          <w:t>7</w:t>
        </w:r>
        <w:r w:rsidR="002C77A8" w:rsidRPr="002C77A8">
          <w:rPr>
            <w:noProof/>
            <w:webHidden/>
          </w:rPr>
          <w:fldChar w:fldCharType="end"/>
        </w:r>
      </w:hyperlink>
    </w:p>
    <w:p w14:paraId="0E3B5E44" w14:textId="77777777" w:rsidR="002C77A8" w:rsidRDefault="002C77A8" w:rsidP="00BE5EE8">
      <w:pPr>
        <w:pStyle w:val="TOC3"/>
        <w:spacing w:after="0"/>
        <w:rPr>
          <w:rStyle w:val="Hyperlink"/>
          <w:noProof/>
        </w:rPr>
      </w:pPr>
    </w:p>
    <w:p w14:paraId="366FD79F" w14:textId="6C15DA3B" w:rsidR="002C77A8" w:rsidRPr="002C77A8" w:rsidRDefault="006208CA" w:rsidP="00BE5EE8">
      <w:pPr>
        <w:pStyle w:val="TOC3"/>
        <w:spacing w:after="0"/>
        <w:rPr>
          <w:rFonts w:asciiTheme="minorHAnsi" w:eastAsiaTheme="minorEastAsia" w:hAnsiTheme="minorHAnsi" w:cstheme="minorBidi"/>
          <w:noProof/>
          <w:sz w:val="22"/>
          <w:szCs w:val="22"/>
        </w:rPr>
      </w:pPr>
      <w:hyperlink w:anchor="_Toc481414273" w:history="1">
        <w:r w:rsidR="002C77A8" w:rsidRPr="002C77A8">
          <w:rPr>
            <w:rStyle w:val="Hyperlink"/>
            <w:noProof/>
          </w:rPr>
          <w:t>B.</w:t>
        </w:r>
        <w:r w:rsidR="002C77A8" w:rsidRPr="002C77A8">
          <w:rPr>
            <w:rFonts w:asciiTheme="minorHAnsi" w:eastAsiaTheme="minorEastAsia" w:hAnsiTheme="minorHAnsi" w:cstheme="minorBidi"/>
            <w:noProof/>
            <w:sz w:val="22"/>
            <w:szCs w:val="22"/>
          </w:rPr>
          <w:tab/>
        </w:r>
        <w:r w:rsidR="002C77A8" w:rsidRPr="002C77A8">
          <w:rPr>
            <w:rStyle w:val="Hyperlink"/>
            <w:noProof/>
          </w:rPr>
          <w:t>There is No Basis for the Court to Stay this Action Based Upon the Court’s Inherent Powers</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_Toc481414273 \h </w:instrText>
        </w:r>
        <w:r w:rsidR="002C77A8" w:rsidRPr="002C77A8">
          <w:rPr>
            <w:noProof/>
            <w:webHidden/>
          </w:rPr>
        </w:r>
        <w:r w:rsidR="002C77A8" w:rsidRPr="002C77A8">
          <w:rPr>
            <w:noProof/>
            <w:webHidden/>
          </w:rPr>
          <w:fldChar w:fldCharType="separate"/>
        </w:r>
        <w:r w:rsidR="004A22BA">
          <w:rPr>
            <w:noProof/>
            <w:webHidden/>
          </w:rPr>
          <w:t>13</w:t>
        </w:r>
        <w:r w:rsidR="002C77A8" w:rsidRPr="002C77A8">
          <w:rPr>
            <w:noProof/>
            <w:webHidden/>
          </w:rPr>
          <w:fldChar w:fldCharType="end"/>
        </w:r>
      </w:hyperlink>
    </w:p>
    <w:p w14:paraId="6717102B" w14:textId="77777777" w:rsidR="002C77A8" w:rsidRDefault="002C77A8" w:rsidP="00BE5EE8">
      <w:pPr>
        <w:pStyle w:val="TOC2"/>
        <w:spacing w:after="0"/>
        <w:rPr>
          <w:rStyle w:val="Hyperlink"/>
          <w:noProof/>
        </w:rPr>
      </w:pPr>
    </w:p>
    <w:p w14:paraId="7BAFCEE4" w14:textId="55913E87" w:rsidR="002C77A8" w:rsidRPr="002C77A8" w:rsidRDefault="006208CA" w:rsidP="00BE5EE8">
      <w:pPr>
        <w:pStyle w:val="TOC2"/>
        <w:spacing w:after="0"/>
        <w:rPr>
          <w:rFonts w:asciiTheme="minorHAnsi" w:eastAsiaTheme="minorEastAsia" w:hAnsiTheme="minorHAnsi" w:cstheme="minorBidi"/>
          <w:noProof/>
          <w:sz w:val="22"/>
          <w:szCs w:val="22"/>
        </w:rPr>
      </w:pPr>
      <w:hyperlink w:anchor="_Toc481414274" w:history="1">
        <w:r w:rsidR="002C77A8" w:rsidRPr="002C77A8">
          <w:rPr>
            <w:rStyle w:val="Hyperlink"/>
            <w:caps/>
            <w:noProof/>
          </w:rPr>
          <w:t>II.</w:t>
        </w:r>
        <w:r w:rsidR="002C77A8" w:rsidRPr="002C77A8">
          <w:rPr>
            <w:rFonts w:asciiTheme="minorHAnsi" w:eastAsiaTheme="minorEastAsia" w:hAnsiTheme="minorHAnsi" w:cstheme="minorBidi"/>
            <w:noProof/>
            <w:sz w:val="22"/>
            <w:szCs w:val="22"/>
          </w:rPr>
          <w:tab/>
        </w:r>
        <w:r w:rsidR="002C77A8" w:rsidRPr="002C77A8">
          <w:rPr>
            <w:rStyle w:val="Hyperlink"/>
            <w:caps/>
            <w:noProof/>
          </w:rPr>
          <w:t>nlc’s collateral estoppel argument fails</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_Toc481414274 \h </w:instrText>
        </w:r>
        <w:r w:rsidR="002C77A8" w:rsidRPr="002C77A8">
          <w:rPr>
            <w:noProof/>
            <w:webHidden/>
          </w:rPr>
        </w:r>
        <w:r w:rsidR="002C77A8" w:rsidRPr="002C77A8">
          <w:rPr>
            <w:noProof/>
            <w:webHidden/>
          </w:rPr>
          <w:fldChar w:fldCharType="separate"/>
        </w:r>
        <w:r w:rsidR="004A22BA">
          <w:rPr>
            <w:noProof/>
            <w:webHidden/>
          </w:rPr>
          <w:t>15</w:t>
        </w:r>
        <w:r w:rsidR="002C77A8" w:rsidRPr="002C77A8">
          <w:rPr>
            <w:noProof/>
            <w:webHidden/>
          </w:rPr>
          <w:fldChar w:fldCharType="end"/>
        </w:r>
      </w:hyperlink>
    </w:p>
    <w:p w14:paraId="404E3682" w14:textId="77777777" w:rsidR="002C77A8" w:rsidRDefault="002C77A8" w:rsidP="00BE5EE8">
      <w:pPr>
        <w:pStyle w:val="TOC3"/>
        <w:spacing w:after="0"/>
        <w:rPr>
          <w:rStyle w:val="Hyperlink"/>
          <w:noProof/>
        </w:rPr>
      </w:pPr>
    </w:p>
    <w:p w14:paraId="22A102C2" w14:textId="0EC35632" w:rsidR="002C77A8" w:rsidRPr="002C77A8" w:rsidRDefault="006208CA" w:rsidP="00BE5EE8">
      <w:pPr>
        <w:pStyle w:val="TOC3"/>
        <w:spacing w:after="0"/>
        <w:rPr>
          <w:rFonts w:asciiTheme="minorHAnsi" w:eastAsiaTheme="minorEastAsia" w:hAnsiTheme="minorHAnsi" w:cstheme="minorBidi"/>
          <w:noProof/>
          <w:sz w:val="22"/>
          <w:szCs w:val="22"/>
        </w:rPr>
      </w:pPr>
      <w:hyperlink w:anchor="_Toc481414275" w:history="1">
        <w:r w:rsidR="002C77A8" w:rsidRPr="002C77A8">
          <w:rPr>
            <w:rStyle w:val="Hyperlink"/>
            <w:noProof/>
          </w:rPr>
          <w:t>A.</w:t>
        </w:r>
        <w:r w:rsidR="002C77A8" w:rsidRPr="002C77A8">
          <w:rPr>
            <w:rFonts w:asciiTheme="minorHAnsi" w:eastAsiaTheme="minorEastAsia" w:hAnsiTheme="minorHAnsi" w:cstheme="minorBidi"/>
            <w:noProof/>
            <w:sz w:val="22"/>
            <w:szCs w:val="22"/>
          </w:rPr>
          <w:tab/>
        </w:r>
        <w:r w:rsidR="002C77A8" w:rsidRPr="002C77A8">
          <w:rPr>
            <w:rStyle w:val="Hyperlink"/>
            <w:noProof/>
          </w:rPr>
          <w:t>NLC’s Collateral Estoppel Argument is Foreclosed by the Terms of the Parties’ Settlement Agreement</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_Toc481414275 \h </w:instrText>
        </w:r>
        <w:r w:rsidR="002C77A8" w:rsidRPr="002C77A8">
          <w:rPr>
            <w:noProof/>
            <w:webHidden/>
          </w:rPr>
        </w:r>
        <w:r w:rsidR="002C77A8" w:rsidRPr="002C77A8">
          <w:rPr>
            <w:noProof/>
            <w:webHidden/>
          </w:rPr>
          <w:fldChar w:fldCharType="separate"/>
        </w:r>
        <w:r w:rsidR="004A22BA">
          <w:rPr>
            <w:noProof/>
            <w:webHidden/>
          </w:rPr>
          <w:t>16</w:t>
        </w:r>
        <w:r w:rsidR="002C77A8" w:rsidRPr="002C77A8">
          <w:rPr>
            <w:noProof/>
            <w:webHidden/>
          </w:rPr>
          <w:fldChar w:fldCharType="end"/>
        </w:r>
      </w:hyperlink>
    </w:p>
    <w:p w14:paraId="1EF85CA7" w14:textId="77777777" w:rsidR="002C77A8" w:rsidRDefault="002C77A8" w:rsidP="00BE5EE8">
      <w:pPr>
        <w:pStyle w:val="TOC3"/>
        <w:spacing w:after="0"/>
        <w:rPr>
          <w:rStyle w:val="Hyperlink"/>
          <w:noProof/>
        </w:rPr>
      </w:pPr>
    </w:p>
    <w:p w14:paraId="15F37EC2" w14:textId="67646658" w:rsidR="002C77A8" w:rsidRPr="002C77A8" w:rsidRDefault="006208CA" w:rsidP="00BE5EE8">
      <w:pPr>
        <w:pStyle w:val="TOC3"/>
        <w:spacing w:after="0"/>
        <w:rPr>
          <w:rFonts w:asciiTheme="minorHAnsi" w:eastAsiaTheme="minorEastAsia" w:hAnsiTheme="minorHAnsi" w:cstheme="minorBidi"/>
          <w:noProof/>
          <w:sz w:val="22"/>
          <w:szCs w:val="22"/>
        </w:rPr>
      </w:pPr>
      <w:hyperlink w:anchor="_Toc481414276" w:history="1">
        <w:r w:rsidR="002C77A8" w:rsidRPr="002C77A8">
          <w:rPr>
            <w:rStyle w:val="Hyperlink"/>
            <w:noProof/>
          </w:rPr>
          <w:t>B.</w:t>
        </w:r>
        <w:r w:rsidR="002C77A8" w:rsidRPr="002C77A8">
          <w:rPr>
            <w:rFonts w:asciiTheme="minorHAnsi" w:eastAsiaTheme="minorEastAsia" w:hAnsiTheme="minorHAnsi" w:cstheme="minorBidi"/>
            <w:noProof/>
            <w:sz w:val="22"/>
            <w:szCs w:val="22"/>
          </w:rPr>
          <w:tab/>
        </w:r>
        <w:r w:rsidR="002C77A8" w:rsidRPr="002C77A8">
          <w:rPr>
            <w:rStyle w:val="Hyperlink"/>
            <w:noProof/>
          </w:rPr>
          <w:t>The Decisions in the 2009 Lawsuit Lack Sufficient Finality to Support Collateral Estoppel</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_Toc481414276 \h </w:instrText>
        </w:r>
        <w:r w:rsidR="002C77A8" w:rsidRPr="002C77A8">
          <w:rPr>
            <w:noProof/>
            <w:webHidden/>
          </w:rPr>
        </w:r>
        <w:r w:rsidR="002C77A8" w:rsidRPr="002C77A8">
          <w:rPr>
            <w:noProof/>
            <w:webHidden/>
          </w:rPr>
          <w:fldChar w:fldCharType="separate"/>
        </w:r>
        <w:r w:rsidR="004A22BA">
          <w:rPr>
            <w:noProof/>
            <w:webHidden/>
          </w:rPr>
          <w:t>20</w:t>
        </w:r>
        <w:r w:rsidR="002C77A8" w:rsidRPr="002C77A8">
          <w:rPr>
            <w:noProof/>
            <w:webHidden/>
          </w:rPr>
          <w:fldChar w:fldCharType="end"/>
        </w:r>
      </w:hyperlink>
    </w:p>
    <w:p w14:paraId="012A0D09" w14:textId="77777777" w:rsidR="002C77A8" w:rsidRDefault="002C77A8" w:rsidP="00BE5EE8">
      <w:pPr>
        <w:pStyle w:val="TOC2"/>
        <w:spacing w:after="0"/>
        <w:rPr>
          <w:rStyle w:val="Hyperlink"/>
          <w:noProof/>
        </w:rPr>
      </w:pPr>
    </w:p>
    <w:p w14:paraId="39528762" w14:textId="3C1E4393" w:rsidR="002C77A8" w:rsidRPr="002C77A8" w:rsidRDefault="006208CA" w:rsidP="00BE5EE8">
      <w:pPr>
        <w:pStyle w:val="TOC2"/>
        <w:spacing w:after="0"/>
        <w:rPr>
          <w:rFonts w:asciiTheme="minorHAnsi" w:eastAsiaTheme="minorEastAsia" w:hAnsiTheme="minorHAnsi" w:cstheme="minorBidi"/>
          <w:noProof/>
          <w:sz w:val="22"/>
          <w:szCs w:val="22"/>
        </w:rPr>
      </w:pPr>
      <w:hyperlink w:anchor="_Toc481414277" w:history="1">
        <w:r w:rsidR="002C77A8" w:rsidRPr="002C77A8">
          <w:rPr>
            <w:rStyle w:val="Hyperlink"/>
            <w:noProof/>
          </w:rPr>
          <w:t>III.</w:t>
        </w:r>
        <w:r w:rsidR="002C77A8" w:rsidRPr="002C77A8">
          <w:rPr>
            <w:rFonts w:asciiTheme="minorHAnsi" w:eastAsiaTheme="minorEastAsia" w:hAnsiTheme="minorHAnsi" w:cstheme="minorBidi"/>
            <w:noProof/>
            <w:sz w:val="22"/>
            <w:szCs w:val="22"/>
          </w:rPr>
          <w:tab/>
        </w:r>
        <w:r w:rsidR="002C77A8" w:rsidRPr="002C77A8">
          <w:rPr>
            <w:rStyle w:val="Hyperlink"/>
            <w:noProof/>
          </w:rPr>
          <w:t>NLC VIOLATED § 12182(b)(1)(E) BY DENYING M.M.’S PARENTS EQUAL ACCESS TO ITS CHILD CARE SERVICES BECAUSE OF THEIR DAUGHTER’S DISABILITY</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_Toc481414277 \h </w:instrText>
        </w:r>
        <w:r w:rsidR="002C77A8" w:rsidRPr="002C77A8">
          <w:rPr>
            <w:noProof/>
            <w:webHidden/>
          </w:rPr>
        </w:r>
        <w:r w:rsidR="002C77A8" w:rsidRPr="002C77A8">
          <w:rPr>
            <w:noProof/>
            <w:webHidden/>
          </w:rPr>
          <w:fldChar w:fldCharType="separate"/>
        </w:r>
        <w:r w:rsidR="004A22BA">
          <w:rPr>
            <w:noProof/>
            <w:webHidden/>
          </w:rPr>
          <w:t>21</w:t>
        </w:r>
        <w:r w:rsidR="002C77A8" w:rsidRPr="002C77A8">
          <w:rPr>
            <w:noProof/>
            <w:webHidden/>
          </w:rPr>
          <w:fldChar w:fldCharType="end"/>
        </w:r>
      </w:hyperlink>
    </w:p>
    <w:p w14:paraId="03238D36" w14:textId="77777777" w:rsidR="002C77A8" w:rsidRDefault="002C77A8" w:rsidP="00BE5EE8">
      <w:pPr>
        <w:pStyle w:val="TOC2"/>
        <w:spacing w:after="0"/>
        <w:rPr>
          <w:rStyle w:val="Hyperlink"/>
          <w:noProof/>
        </w:rPr>
      </w:pPr>
    </w:p>
    <w:p w14:paraId="2E208934" w14:textId="29AF933C" w:rsidR="002C77A8" w:rsidRPr="002C77A8" w:rsidRDefault="006208CA" w:rsidP="00BE5EE8">
      <w:pPr>
        <w:pStyle w:val="TOC2"/>
        <w:spacing w:after="0"/>
        <w:rPr>
          <w:rFonts w:asciiTheme="minorHAnsi" w:eastAsiaTheme="minorEastAsia" w:hAnsiTheme="minorHAnsi" w:cstheme="minorBidi"/>
          <w:noProof/>
          <w:sz w:val="22"/>
          <w:szCs w:val="22"/>
        </w:rPr>
      </w:pPr>
      <w:hyperlink w:anchor="_Toc481414278" w:history="1">
        <w:r w:rsidR="002C77A8" w:rsidRPr="002C77A8">
          <w:rPr>
            <w:rStyle w:val="Hyperlink"/>
            <w:noProof/>
          </w:rPr>
          <w:t>IV.</w:t>
        </w:r>
        <w:r w:rsidR="002C77A8" w:rsidRPr="002C77A8">
          <w:rPr>
            <w:rFonts w:asciiTheme="minorHAnsi" w:eastAsiaTheme="minorEastAsia" w:hAnsiTheme="minorHAnsi" w:cstheme="minorBidi"/>
            <w:noProof/>
            <w:sz w:val="22"/>
            <w:szCs w:val="22"/>
          </w:rPr>
          <w:tab/>
        </w:r>
        <w:r w:rsidR="002C77A8" w:rsidRPr="002C77A8">
          <w:rPr>
            <w:rStyle w:val="Hyperlink"/>
            <w:noProof/>
          </w:rPr>
          <w:t>THE REQUEST FOR INJUNCTIVE RELIEF IS SUFFICIENTLY PLEADED AND IS AVAILABLE UNDER THE ADA</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_Toc481414278 \h </w:instrText>
        </w:r>
        <w:r w:rsidR="002C77A8" w:rsidRPr="002C77A8">
          <w:rPr>
            <w:noProof/>
            <w:webHidden/>
          </w:rPr>
        </w:r>
        <w:r w:rsidR="002C77A8" w:rsidRPr="002C77A8">
          <w:rPr>
            <w:noProof/>
            <w:webHidden/>
          </w:rPr>
          <w:fldChar w:fldCharType="separate"/>
        </w:r>
        <w:r w:rsidR="004A22BA">
          <w:rPr>
            <w:noProof/>
            <w:webHidden/>
          </w:rPr>
          <w:t>27</w:t>
        </w:r>
        <w:r w:rsidR="002C77A8" w:rsidRPr="002C77A8">
          <w:rPr>
            <w:noProof/>
            <w:webHidden/>
          </w:rPr>
          <w:fldChar w:fldCharType="end"/>
        </w:r>
      </w:hyperlink>
    </w:p>
    <w:p w14:paraId="40224E6D" w14:textId="77777777" w:rsidR="002C77A8" w:rsidRDefault="002C77A8" w:rsidP="00BE5EE8">
      <w:pPr>
        <w:pStyle w:val="TOC3"/>
        <w:spacing w:after="0"/>
        <w:rPr>
          <w:rStyle w:val="Hyperlink"/>
          <w:noProof/>
        </w:rPr>
      </w:pPr>
    </w:p>
    <w:p w14:paraId="313C581F" w14:textId="361253E4" w:rsidR="002C77A8" w:rsidRPr="002C77A8" w:rsidRDefault="006208CA" w:rsidP="00BE5EE8">
      <w:pPr>
        <w:pStyle w:val="TOC3"/>
        <w:spacing w:after="0"/>
        <w:rPr>
          <w:rFonts w:asciiTheme="minorHAnsi" w:eastAsiaTheme="minorEastAsia" w:hAnsiTheme="minorHAnsi" w:cstheme="minorBidi"/>
          <w:noProof/>
          <w:sz w:val="22"/>
          <w:szCs w:val="22"/>
        </w:rPr>
      </w:pPr>
      <w:hyperlink w:anchor="_Toc481414279" w:history="1">
        <w:r w:rsidR="002C77A8" w:rsidRPr="002C77A8">
          <w:rPr>
            <w:rStyle w:val="Hyperlink"/>
            <w:noProof/>
          </w:rPr>
          <w:t>A.</w:t>
        </w:r>
        <w:r w:rsidR="002C77A8" w:rsidRPr="002C77A8">
          <w:rPr>
            <w:rFonts w:asciiTheme="minorHAnsi" w:eastAsiaTheme="minorEastAsia" w:hAnsiTheme="minorHAnsi" w:cstheme="minorBidi"/>
            <w:noProof/>
            <w:sz w:val="22"/>
            <w:szCs w:val="22"/>
          </w:rPr>
          <w:tab/>
        </w:r>
        <w:r w:rsidR="002C77A8" w:rsidRPr="002C77A8">
          <w:rPr>
            <w:rStyle w:val="Hyperlink"/>
            <w:noProof/>
          </w:rPr>
          <w:t>The Attorney General Can Seek Injunctive Relief Even Though M.M. No Longer Attends Chesterbrook</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_Toc481414279 \h </w:instrText>
        </w:r>
        <w:r w:rsidR="002C77A8" w:rsidRPr="002C77A8">
          <w:rPr>
            <w:noProof/>
            <w:webHidden/>
          </w:rPr>
        </w:r>
        <w:r w:rsidR="002C77A8" w:rsidRPr="002C77A8">
          <w:rPr>
            <w:noProof/>
            <w:webHidden/>
          </w:rPr>
          <w:fldChar w:fldCharType="separate"/>
        </w:r>
        <w:r w:rsidR="004A22BA">
          <w:rPr>
            <w:noProof/>
            <w:webHidden/>
          </w:rPr>
          <w:t>27</w:t>
        </w:r>
        <w:r w:rsidR="002C77A8" w:rsidRPr="002C77A8">
          <w:rPr>
            <w:noProof/>
            <w:webHidden/>
          </w:rPr>
          <w:fldChar w:fldCharType="end"/>
        </w:r>
      </w:hyperlink>
    </w:p>
    <w:p w14:paraId="5BE2342F" w14:textId="77777777" w:rsidR="002C77A8" w:rsidRDefault="002C77A8" w:rsidP="00BE5EE8">
      <w:pPr>
        <w:pStyle w:val="TOC3"/>
        <w:spacing w:after="0"/>
        <w:rPr>
          <w:rStyle w:val="Hyperlink"/>
          <w:noProof/>
        </w:rPr>
      </w:pPr>
    </w:p>
    <w:p w14:paraId="730D7AFF" w14:textId="5B527543" w:rsidR="002C77A8" w:rsidRPr="002C77A8" w:rsidRDefault="006208CA" w:rsidP="00BE5EE8">
      <w:pPr>
        <w:pStyle w:val="TOC3"/>
        <w:spacing w:after="0"/>
        <w:rPr>
          <w:rFonts w:asciiTheme="minorHAnsi" w:eastAsiaTheme="minorEastAsia" w:hAnsiTheme="minorHAnsi" w:cstheme="minorBidi"/>
          <w:noProof/>
          <w:sz w:val="22"/>
          <w:szCs w:val="22"/>
        </w:rPr>
      </w:pPr>
      <w:hyperlink w:anchor="_Toc481414280" w:history="1">
        <w:r w:rsidR="002C77A8" w:rsidRPr="002C77A8">
          <w:rPr>
            <w:rStyle w:val="Hyperlink"/>
            <w:noProof/>
          </w:rPr>
          <w:t>B.</w:t>
        </w:r>
        <w:r w:rsidR="002C77A8" w:rsidRPr="002C77A8">
          <w:rPr>
            <w:rFonts w:asciiTheme="minorHAnsi" w:eastAsiaTheme="minorEastAsia" w:hAnsiTheme="minorHAnsi" w:cstheme="minorBidi"/>
            <w:noProof/>
            <w:sz w:val="22"/>
            <w:szCs w:val="22"/>
          </w:rPr>
          <w:tab/>
        </w:r>
        <w:r w:rsidR="002C77A8" w:rsidRPr="002C77A8">
          <w:rPr>
            <w:rStyle w:val="Hyperlink"/>
            <w:noProof/>
          </w:rPr>
          <w:t>The United States’ Request for Injunctive Relief Complies with Rule 8(a)(3)</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_Toc481414280 \h </w:instrText>
        </w:r>
        <w:r w:rsidR="002C77A8" w:rsidRPr="002C77A8">
          <w:rPr>
            <w:noProof/>
            <w:webHidden/>
          </w:rPr>
        </w:r>
        <w:r w:rsidR="002C77A8" w:rsidRPr="002C77A8">
          <w:rPr>
            <w:noProof/>
            <w:webHidden/>
          </w:rPr>
          <w:fldChar w:fldCharType="separate"/>
        </w:r>
        <w:r w:rsidR="004A22BA">
          <w:rPr>
            <w:noProof/>
            <w:webHidden/>
          </w:rPr>
          <w:t>28</w:t>
        </w:r>
        <w:r w:rsidR="002C77A8" w:rsidRPr="002C77A8">
          <w:rPr>
            <w:noProof/>
            <w:webHidden/>
          </w:rPr>
          <w:fldChar w:fldCharType="end"/>
        </w:r>
      </w:hyperlink>
    </w:p>
    <w:p w14:paraId="139243A5" w14:textId="77777777" w:rsidR="002C77A8" w:rsidRDefault="002C77A8" w:rsidP="00BE5EE8">
      <w:pPr>
        <w:pStyle w:val="TOC1"/>
        <w:tabs>
          <w:tab w:val="right" w:leader="dot" w:pos="9350"/>
        </w:tabs>
        <w:spacing w:after="0"/>
        <w:rPr>
          <w:rStyle w:val="Hyperlink"/>
          <w:noProof/>
        </w:rPr>
      </w:pPr>
    </w:p>
    <w:p w14:paraId="67346B64" w14:textId="38F954C3" w:rsidR="002C77A8" w:rsidRPr="002C77A8" w:rsidRDefault="006208CA" w:rsidP="00BE5EE8">
      <w:pPr>
        <w:pStyle w:val="TOC1"/>
        <w:tabs>
          <w:tab w:val="right" w:leader="dot" w:pos="9350"/>
        </w:tabs>
        <w:spacing w:after="0"/>
        <w:rPr>
          <w:rFonts w:asciiTheme="minorHAnsi" w:eastAsiaTheme="minorEastAsia" w:hAnsiTheme="minorHAnsi" w:cstheme="minorBidi"/>
          <w:noProof/>
          <w:sz w:val="22"/>
          <w:szCs w:val="22"/>
        </w:rPr>
      </w:pPr>
      <w:hyperlink w:anchor="_Toc481414281" w:history="1">
        <w:r w:rsidR="002C77A8" w:rsidRPr="002C77A8">
          <w:rPr>
            <w:rStyle w:val="Hyperlink"/>
            <w:noProof/>
          </w:rPr>
          <w:t>CONCLUSION</w:t>
        </w:r>
        <w:r w:rsidR="002C77A8" w:rsidRPr="002C77A8">
          <w:rPr>
            <w:noProof/>
            <w:webHidden/>
          </w:rPr>
          <w:tab/>
        </w:r>
        <w:r w:rsidR="002C77A8" w:rsidRPr="002C77A8">
          <w:rPr>
            <w:noProof/>
            <w:webHidden/>
          </w:rPr>
          <w:fldChar w:fldCharType="begin"/>
        </w:r>
        <w:r w:rsidR="002C77A8" w:rsidRPr="002C77A8">
          <w:rPr>
            <w:noProof/>
            <w:webHidden/>
          </w:rPr>
          <w:instrText xml:space="preserve"> PAGEREF _Toc481414281 \h </w:instrText>
        </w:r>
        <w:r w:rsidR="002C77A8" w:rsidRPr="002C77A8">
          <w:rPr>
            <w:noProof/>
            <w:webHidden/>
          </w:rPr>
        </w:r>
        <w:r w:rsidR="002C77A8" w:rsidRPr="002C77A8">
          <w:rPr>
            <w:noProof/>
            <w:webHidden/>
          </w:rPr>
          <w:fldChar w:fldCharType="separate"/>
        </w:r>
        <w:r w:rsidR="004A22BA">
          <w:rPr>
            <w:noProof/>
            <w:webHidden/>
          </w:rPr>
          <w:t>30</w:t>
        </w:r>
        <w:r w:rsidR="002C77A8" w:rsidRPr="002C77A8">
          <w:rPr>
            <w:noProof/>
            <w:webHidden/>
          </w:rPr>
          <w:fldChar w:fldCharType="end"/>
        </w:r>
      </w:hyperlink>
    </w:p>
    <w:p w14:paraId="2B0FA24F" w14:textId="4033A19D" w:rsidR="000C1135" w:rsidRPr="001A1FD3" w:rsidRDefault="002C77A8" w:rsidP="002377BD">
      <w:pPr>
        <w:jc w:val="center"/>
      </w:pPr>
      <w:r w:rsidRPr="002C77A8">
        <w:fldChar w:fldCharType="end"/>
      </w:r>
      <w:r w:rsidR="000C1135" w:rsidRPr="001A1FD3">
        <w:br w:type="page"/>
      </w:r>
      <w:bookmarkStart w:id="6" w:name="_Toc462302837"/>
      <w:bookmarkStart w:id="7" w:name="_Toc481414266"/>
      <w:r w:rsidR="000C1135" w:rsidRPr="00426573">
        <w:lastRenderedPageBreak/>
        <w:t>TABLE OF AUTHORITIES</w:t>
      </w:r>
      <w:bookmarkEnd w:id="6"/>
      <w:bookmarkEnd w:id="7"/>
    </w:p>
    <w:bookmarkStart w:id="8" w:name="dabmtoa_42f44d0745b9461ea3b7b21c04998200"/>
    <w:p w14:paraId="41F5CC8A" w14:textId="77777777" w:rsidR="00BF041A" w:rsidRDefault="00BF041A" w:rsidP="00BF041A">
      <w:pPr>
        <w:pStyle w:val="TOAHeading"/>
        <w:tabs>
          <w:tab w:val="right" w:leader="dot" w:pos="9350"/>
        </w:tabs>
        <w:jc w:val="center"/>
        <w:rPr>
          <w:rFonts w:asciiTheme="minorHAnsi" w:eastAsiaTheme="minorEastAsia" w:hAnsiTheme="minorHAnsi" w:cstheme="minorBidi"/>
          <w:b w:val="0"/>
          <w:bCs w:val="0"/>
          <w:noProof/>
          <w:sz w:val="22"/>
          <w:szCs w:val="22"/>
        </w:rPr>
      </w:pPr>
      <w:r>
        <w:rPr>
          <w:b w:val="0"/>
          <w:bCs w:val="0"/>
          <w:iCs w:val="0"/>
        </w:rPr>
        <w:fldChar w:fldCharType="begin"/>
      </w:r>
      <w:r>
        <w:rPr>
          <w:b w:val="0"/>
          <w:bCs w:val="0"/>
          <w:iCs w:val="0"/>
        </w:rPr>
        <w:instrText xml:space="preserve"> TOA \h \c "1" \p \d "-" \g "–" \l ", " </w:instrText>
      </w:r>
      <w:r>
        <w:rPr>
          <w:b w:val="0"/>
          <w:bCs w:val="0"/>
          <w:iCs w:val="0"/>
        </w:rPr>
        <w:fldChar w:fldCharType="separate"/>
      </w:r>
      <w:r>
        <w:rPr>
          <w:noProof/>
        </w:rPr>
        <w:t>Cases</w:t>
      </w:r>
    </w:p>
    <w:p w14:paraId="6960AF9C" w14:textId="77777777" w:rsidR="00BF041A" w:rsidRDefault="00BF041A">
      <w:pPr>
        <w:pStyle w:val="TableofAuthorities"/>
        <w:tabs>
          <w:tab w:val="right" w:leader="dot" w:pos="9350"/>
        </w:tabs>
        <w:rPr>
          <w:noProof/>
        </w:rPr>
      </w:pPr>
      <w:r w:rsidRPr="009916E5">
        <w:rPr>
          <w:i/>
          <w:noProof/>
          <w:color w:val="000000"/>
        </w:rPr>
        <w:t>Arizona v. California</w:t>
      </w:r>
      <w:r w:rsidRPr="009916E5">
        <w:rPr>
          <w:noProof/>
          <w:color w:val="000000"/>
        </w:rPr>
        <w:t>,</w:t>
      </w:r>
      <w:r w:rsidRPr="009916E5">
        <w:rPr>
          <w:noProof/>
          <w:color w:val="000000"/>
        </w:rPr>
        <w:br/>
        <w:t>530 U.S. 392 (2000)</w:t>
      </w:r>
      <w:r>
        <w:rPr>
          <w:noProof/>
        </w:rPr>
        <w:tab/>
        <w:t>17, 19</w:t>
      </w:r>
    </w:p>
    <w:p w14:paraId="3D3DF0E1" w14:textId="77777777" w:rsidR="00BF041A" w:rsidRDefault="00BF041A">
      <w:pPr>
        <w:pStyle w:val="TableofAuthorities"/>
        <w:tabs>
          <w:tab w:val="right" w:leader="dot" w:pos="9350"/>
        </w:tabs>
        <w:rPr>
          <w:noProof/>
        </w:rPr>
      </w:pPr>
      <w:r w:rsidRPr="009916E5">
        <w:rPr>
          <w:i/>
          <w:noProof/>
          <w:color w:val="000000"/>
        </w:rPr>
        <w:t>Bravin v. Mt. Sinai Med. Ctr.</w:t>
      </w:r>
      <w:r w:rsidRPr="009916E5">
        <w:rPr>
          <w:noProof/>
          <w:color w:val="000000"/>
        </w:rPr>
        <w:t>,</w:t>
      </w:r>
      <w:r w:rsidRPr="009916E5">
        <w:rPr>
          <w:noProof/>
          <w:color w:val="000000"/>
        </w:rPr>
        <w:br/>
        <w:t>58 F. Supp. 2d 269 (S.D.N.Y. 1999)</w:t>
      </w:r>
      <w:r>
        <w:rPr>
          <w:noProof/>
        </w:rPr>
        <w:tab/>
        <w:t>22</w:t>
      </w:r>
    </w:p>
    <w:p w14:paraId="0C4EAF39" w14:textId="7F2E5565" w:rsidR="00BF041A" w:rsidRDefault="00BF041A">
      <w:pPr>
        <w:pStyle w:val="TableofAuthorities"/>
        <w:tabs>
          <w:tab w:val="right" w:leader="dot" w:pos="9350"/>
        </w:tabs>
        <w:rPr>
          <w:noProof/>
        </w:rPr>
      </w:pPr>
      <w:r w:rsidRPr="009916E5">
        <w:rPr>
          <w:i/>
          <w:noProof/>
          <w:color w:val="000000"/>
        </w:rPr>
        <w:t>Burlington N. R.R. Co. v. Hyundai Merchant Marine Co., Ltd.</w:t>
      </w:r>
      <w:r>
        <w:rPr>
          <w:noProof/>
          <w:color w:val="000000"/>
        </w:rPr>
        <w:t>,</w:t>
      </w:r>
      <w:r>
        <w:rPr>
          <w:noProof/>
          <w:color w:val="000000"/>
        </w:rPr>
        <w:br/>
        <w:t>63 F.3</w:t>
      </w:r>
      <w:r w:rsidRPr="009916E5">
        <w:rPr>
          <w:noProof/>
          <w:color w:val="000000"/>
        </w:rPr>
        <w:t>d 1227</w:t>
      </w:r>
      <w:r w:rsidR="00C2098E">
        <w:rPr>
          <w:noProof/>
        </w:rPr>
        <w:tab/>
        <w:t>15,</w:t>
      </w:r>
      <w:r>
        <w:rPr>
          <w:noProof/>
        </w:rPr>
        <w:t xml:space="preserve"> 20, 21</w:t>
      </w:r>
    </w:p>
    <w:p w14:paraId="41A4DC1F" w14:textId="53BDF222" w:rsidR="00BF041A" w:rsidRDefault="00BF041A">
      <w:pPr>
        <w:pStyle w:val="TableofAuthorities"/>
        <w:tabs>
          <w:tab w:val="right" w:leader="dot" w:pos="9350"/>
        </w:tabs>
        <w:rPr>
          <w:noProof/>
        </w:rPr>
      </w:pPr>
      <w:r w:rsidRPr="009916E5">
        <w:rPr>
          <w:i/>
          <w:noProof/>
          <w:color w:val="000000"/>
        </w:rPr>
        <w:t>Colorado River</w:t>
      </w:r>
      <w:r w:rsidR="00C2098E">
        <w:rPr>
          <w:i/>
          <w:noProof/>
          <w:color w:val="000000"/>
        </w:rPr>
        <w:t xml:space="preserve"> v. United States</w:t>
      </w:r>
      <w:r w:rsidRPr="009916E5">
        <w:rPr>
          <w:noProof/>
          <w:color w:val="000000"/>
        </w:rPr>
        <w:t>,</w:t>
      </w:r>
      <w:r w:rsidRPr="009916E5">
        <w:rPr>
          <w:noProof/>
          <w:color w:val="000000"/>
        </w:rPr>
        <w:br/>
        <w:t>424 U.S.</w:t>
      </w:r>
      <w:r w:rsidR="00C2098E">
        <w:rPr>
          <w:noProof/>
          <w:color w:val="000000"/>
        </w:rPr>
        <w:t xml:space="preserve"> 800 (1976)</w:t>
      </w:r>
      <w:r>
        <w:rPr>
          <w:noProof/>
        </w:rPr>
        <w:tab/>
        <w:t>12</w:t>
      </w:r>
    </w:p>
    <w:p w14:paraId="6C9D76DD" w14:textId="77777777" w:rsidR="00BF041A" w:rsidRDefault="00BF041A">
      <w:pPr>
        <w:pStyle w:val="TableofAuthorities"/>
        <w:tabs>
          <w:tab w:val="right" w:leader="dot" w:pos="9350"/>
        </w:tabs>
        <w:rPr>
          <w:noProof/>
        </w:rPr>
      </w:pPr>
      <w:r w:rsidRPr="009916E5">
        <w:rPr>
          <w:i/>
          <w:noProof/>
          <w:color w:val="000000"/>
        </w:rPr>
        <w:t>Comair Rotron, Inc. v. Nippon Densan Corp.</w:t>
      </w:r>
      <w:r w:rsidRPr="009916E5">
        <w:rPr>
          <w:noProof/>
          <w:color w:val="000000"/>
        </w:rPr>
        <w:t>,</w:t>
      </w:r>
      <w:r w:rsidRPr="009916E5">
        <w:rPr>
          <w:noProof/>
          <w:color w:val="000000"/>
        </w:rPr>
        <w:br/>
        <w:t>49 F.3d 1535 (Fed. Cir. 1995)</w:t>
      </w:r>
      <w:r>
        <w:rPr>
          <w:noProof/>
        </w:rPr>
        <w:tab/>
        <w:t>20</w:t>
      </w:r>
    </w:p>
    <w:p w14:paraId="6FE5E1CF" w14:textId="77777777" w:rsidR="00BF041A" w:rsidRDefault="00BF041A">
      <w:pPr>
        <w:pStyle w:val="TableofAuthorities"/>
        <w:tabs>
          <w:tab w:val="right" w:leader="dot" w:pos="9350"/>
        </w:tabs>
        <w:rPr>
          <w:noProof/>
        </w:rPr>
      </w:pPr>
      <w:r w:rsidRPr="009916E5">
        <w:rPr>
          <w:i/>
          <w:noProof/>
          <w:color w:val="000000"/>
        </w:rPr>
        <w:t>Continental Airlines, Inc. v. Am. Airlines, Inc.</w:t>
      </w:r>
      <w:r w:rsidRPr="009916E5">
        <w:rPr>
          <w:noProof/>
          <w:color w:val="000000"/>
        </w:rPr>
        <w:t>,</w:t>
      </w:r>
      <w:r w:rsidRPr="009916E5">
        <w:rPr>
          <w:noProof/>
          <w:color w:val="000000"/>
        </w:rPr>
        <w:br/>
        <w:t>824 F. Supp. 689 (S.D. Tex. 1993)</w:t>
      </w:r>
      <w:r>
        <w:rPr>
          <w:noProof/>
        </w:rPr>
        <w:tab/>
        <w:t>18</w:t>
      </w:r>
    </w:p>
    <w:p w14:paraId="6114C732" w14:textId="77777777" w:rsidR="00BF041A" w:rsidRDefault="00BF041A">
      <w:pPr>
        <w:pStyle w:val="TableofAuthorities"/>
        <w:tabs>
          <w:tab w:val="right" w:leader="dot" w:pos="9350"/>
        </w:tabs>
        <w:rPr>
          <w:noProof/>
        </w:rPr>
      </w:pPr>
      <w:r w:rsidRPr="009916E5">
        <w:rPr>
          <w:i/>
          <w:noProof/>
          <w:color w:val="000000"/>
        </w:rPr>
        <w:t>D.N. v. Louisa Cnty. Pub. Sch.</w:t>
      </w:r>
      <w:r w:rsidRPr="009916E5">
        <w:rPr>
          <w:noProof/>
          <w:color w:val="000000"/>
        </w:rPr>
        <w:t>,</w:t>
      </w:r>
      <w:r w:rsidRPr="009916E5">
        <w:rPr>
          <w:noProof/>
          <w:color w:val="000000"/>
        </w:rPr>
        <w:br/>
        <w:t>156 F. Supp. 3d 767 (W.D. Va. 2016)</w:t>
      </w:r>
      <w:r>
        <w:rPr>
          <w:noProof/>
        </w:rPr>
        <w:tab/>
        <w:t>25</w:t>
      </w:r>
    </w:p>
    <w:p w14:paraId="752AB2E3" w14:textId="77777777" w:rsidR="00BF041A" w:rsidRDefault="00BF041A">
      <w:pPr>
        <w:pStyle w:val="TableofAuthorities"/>
        <w:tabs>
          <w:tab w:val="right" w:leader="dot" w:pos="9350"/>
        </w:tabs>
        <w:rPr>
          <w:noProof/>
        </w:rPr>
      </w:pPr>
      <w:r w:rsidRPr="009916E5">
        <w:rPr>
          <w:i/>
          <w:noProof/>
          <w:color w:val="000000"/>
        </w:rPr>
        <w:lastRenderedPageBreak/>
        <w:t>Doe v. Cnty. of Centre</w:t>
      </w:r>
      <w:r w:rsidRPr="009916E5">
        <w:rPr>
          <w:noProof/>
          <w:color w:val="000000"/>
        </w:rPr>
        <w:t>,</w:t>
      </w:r>
      <w:r w:rsidRPr="009916E5">
        <w:rPr>
          <w:noProof/>
          <w:color w:val="000000"/>
        </w:rPr>
        <w:br/>
        <w:t>242 F.3d 437 (3d Cir. 2001)</w:t>
      </w:r>
      <w:r>
        <w:rPr>
          <w:noProof/>
        </w:rPr>
        <w:tab/>
        <w:t>24</w:t>
      </w:r>
    </w:p>
    <w:p w14:paraId="021D939F" w14:textId="77777777" w:rsidR="00BF041A" w:rsidRDefault="00BF041A">
      <w:pPr>
        <w:pStyle w:val="TableofAuthorities"/>
        <w:tabs>
          <w:tab w:val="right" w:leader="dot" w:pos="9350"/>
        </w:tabs>
        <w:rPr>
          <w:noProof/>
        </w:rPr>
      </w:pPr>
      <w:r w:rsidRPr="009916E5">
        <w:rPr>
          <w:i/>
          <w:noProof/>
          <w:color w:val="000000"/>
        </w:rPr>
        <w:t>Dominguez v. United States</w:t>
      </w:r>
      <w:r w:rsidRPr="009916E5">
        <w:rPr>
          <w:noProof/>
          <w:color w:val="000000"/>
        </w:rPr>
        <w:t>,</w:t>
      </w:r>
      <w:r w:rsidRPr="009916E5">
        <w:rPr>
          <w:noProof/>
          <w:color w:val="000000"/>
        </w:rPr>
        <w:br/>
        <w:t>82 F. Supp. 693 (E.D. Pa. 1949)</w:t>
      </w:r>
      <w:r>
        <w:rPr>
          <w:noProof/>
        </w:rPr>
        <w:tab/>
        <w:t>14</w:t>
      </w:r>
    </w:p>
    <w:p w14:paraId="4577530F" w14:textId="740E03A3" w:rsidR="00C87FF5" w:rsidRDefault="00C87FF5" w:rsidP="00C87FF5">
      <w:pPr>
        <w:pStyle w:val="TableofAuthorities"/>
        <w:tabs>
          <w:tab w:val="right" w:leader="dot" w:pos="9350"/>
        </w:tabs>
        <w:rPr>
          <w:noProof/>
        </w:rPr>
      </w:pPr>
      <w:r>
        <w:rPr>
          <w:i/>
          <w:noProof/>
          <w:color w:val="000000"/>
        </w:rPr>
        <w:t xml:space="preserve">Ecotone Farm, LLC </w:t>
      </w:r>
      <w:r w:rsidRPr="009916E5">
        <w:rPr>
          <w:i/>
          <w:noProof/>
          <w:color w:val="000000"/>
        </w:rPr>
        <w:t xml:space="preserve">v. </w:t>
      </w:r>
      <w:r>
        <w:rPr>
          <w:i/>
          <w:noProof/>
          <w:color w:val="000000"/>
        </w:rPr>
        <w:t>Ward</w:t>
      </w:r>
      <w:r w:rsidRPr="009916E5">
        <w:rPr>
          <w:noProof/>
          <w:color w:val="000000"/>
        </w:rPr>
        <w:t>,</w:t>
      </w:r>
      <w:r w:rsidRPr="009916E5">
        <w:rPr>
          <w:noProof/>
          <w:color w:val="000000"/>
        </w:rPr>
        <w:br/>
      </w:r>
      <w:r w:rsidRPr="00AF561D">
        <w:rPr>
          <w:szCs w:val="24"/>
        </w:rPr>
        <w:t>No. 11-CV-5094</w:t>
      </w:r>
      <w:r w:rsidR="00BE5EE8">
        <w:rPr>
          <w:szCs w:val="24"/>
        </w:rPr>
        <w:t>,</w:t>
      </w:r>
      <w:r>
        <w:rPr>
          <w:szCs w:val="24"/>
        </w:rPr>
        <w:t xml:space="preserve"> </w:t>
      </w:r>
      <w:r w:rsidRPr="00AF561D">
        <w:rPr>
          <w:szCs w:val="24"/>
        </w:rPr>
        <w:t>2014 U.S. Dist. LEXIS 101046, (D.N.J. July 22, 2014)</w:t>
      </w:r>
      <w:r w:rsidR="005E33A0">
        <w:rPr>
          <w:noProof/>
        </w:rPr>
        <w:tab/>
        <w:t>17, 18</w:t>
      </w:r>
    </w:p>
    <w:p w14:paraId="43B4F6A1" w14:textId="3C9FFCCE" w:rsidR="00BF041A" w:rsidRDefault="00BF041A">
      <w:pPr>
        <w:pStyle w:val="TableofAuthorities"/>
        <w:tabs>
          <w:tab w:val="right" w:leader="dot" w:pos="9350"/>
        </w:tabs>
        <w:rPr>
          <w:noProof/>
        </w:rPr>
      </w:pPr>
      <w:r w:rsidRPr="009916E5">
        <w:rPr>
          <w:i/>
          <w:noProof/>
          <w:color w:val="000000"/>
        </w:rPr>
        <w:t>George v. AZ Eagle TT Corp.</w:t>
      </w:r>
      <w:r w:rsidRPr="009916E5">
        <w:rPr>
          <w:noProof/>
          <w:color w:val="000000"/>
        </w:rPr>
        <w:t>,</w:t>
      </w:r>
      <w:r w:rsidRPr="009916E5">
        <w:rPr>
          <w:noProof/>
          <w:color w:val="000000"/>
        </w:rPr>
        <w:br/>
        <w:t>961 F. Supp. 2d 971 (D. Ariz. 2013)</w:t>
      </w:r>
      <w:r>
        <w:rPr>
          <w:noProof/>
        </w:rPr>
        <w:tab/>
        <w:t>26</w:t>
      </w:r>
    </w:p>
    <w:p w14:paraId="10665D5A" w14:textId="77777777" w:rsidR="00BF041A" w:rsidRDefault="00BF041A">
      <w:pPr>
        <w:pStyle w:val="TableofAuthorities"/>
        <w:tabs>
          <w:tab w:val="right" w:leader="dot" w:pos="9350"/>
        </w:tabs>
        <w:rPr>
          <w:noProof/>
        </w:rPr>
      </w:pPr>
      <w:r w:rsidRPr="009916E5">
        <w:rPr>
          <w:i/>
          <w:noProof/>
          <w:color w:val="000000"/>
        </w:rPr>
        <w:t>Glass v. Hillsboro Sch. Dist.</w:t>
      </w:r>
      <w:r w:rsidRPr="009916E5">
        <w:rPr>
          <w:noProof/>
          <w:color w:val="000000"/>
        </w:rPr>
        <w:t>,</w:t>
      </w:r>
      <w:r w:rsidRPr="009916E5">
        <w:rPr>
          <w:noProof/>
          <w:color w:val="000000"/>
        </w:rPr>
        <w:br/>
        <w:t>142 F. Supp. 2d 1286 (D. Or. 2001)</w:t>
      </w:r>
      <w:r>
        <w:rPr>
          <w:noProof/>
        </w:rPr>
        <w:tab/>
        <w:t>24</w:t>
      </w:r>
    </w:p>
    <w:p w14:paraId="73274BED" w14:textId="40CCDCB8" w:rsidR="00890947" w:rsidRDefault="00890947" w:rsidP="00890947">
      <w:pPr>
        <w:pStyle w:val="TableofAuthorities"/>
        <w:tabs>
          <w:tab w:val="right" w:leader="dot" w:pos="9350"/>
        </w:tabs>
        <w:rPr>
          <w:noProof/>
        </w:rPr>
      </w:pPr>
      <w:r w:rsidRPr="001A1FD3">
        <w:rPr>
          <w:i/>
        </w:rPr>
        <w:t>Glover Construction Company, Inc. v. Babbitt</w:t>
      </w:r>
      <w:r w:rsidRPr="009916E5">
        <w:rPr>
          <w:noProof/>
          <w:color w:val="000000"/>
        </w:rPr>
        <w:t>,</w:t>
      </w:r>
      <w:r w:rsidRPr="009916E5">
        <w:rPr>
          <w:noProof/>
          <w:color w:val="000000"/>
        </w:rPr>
        <w:br/>
      </w:r>
      <w:r w:rsidRPr="001A1FD3">
        <w:t>No. 97-7122, 1999 U.S. App. LEXIS 1683 (10th Cir. Feb. 5, 1999)</w:t>
      </w:r>
      <w:r>
        <w:rPr>
          <w:noProof/>
        </w:rPr>
        <w:tab/>
        <w:t>29</w:t>
      </w:r>
    </w:p>
    <w:p w14:paraId="42180E87" w14:textId="7121D42D" w:rsidR="00BF041A" w:rsidRDefault="00BF041A">
      <w:pPr>
        <w:pStyle w:val="TableofAuthorities"/>
        <w:tabs>
          <w:tab w:val="right" w:leader="dot" w:pos="9350"/>
        </w:tabs>
        <w:rPr>
          <w:noProof/>
        </w:rPr>
      </w:pPr>
      <w:r w:rsidRPr="009916E5">
        <w:rPr>
          <w:i/>
          <w:noProof/>
          <w:color w:val="000000"/>
        </w:rPr>
        <w:t>In re Brown</w:t>
      </w:r>
      <w:r w:rsidRPr="009916E5">
        <w:rPr>
          <w:noProof/>
          <w:color w:val="000000"/>
        </w:rPr>
        <w:t>,</w:t>
      </w:r>
      <w:r w:rsidRPr="009916E5">
        <w:rPr>
          <w:noProof/>
          <w:color w:val="000000"/>
        </w:rPr>
        <w:br/>
        <w:t>951 F.2d 564 (3d Cir. 1991)</w:t>
      </w:r>
      <w:r>
        <w:rPr>
          <w:noProof/>
        </w:rPr>
        <w:tab/>
        <w:t>20</w:t>
      </w:r>
    </w:p>
    <w:p w14:paraId="0F9FA198" w14:textId="69035641" w:rsidR="00C2098E" w:rsidRDefault="00C2098E" w:rsidP="00C2098E">
      <w:pPr>
        <w:pStyle w:val="TableofAuthorities"/>
        <w:tabs>
          <w:tab w:val="right" w:leader="dot" w:pos="9350"/>
        </w:tabs>
        <w:rPr>
          <w:i/>
          <w:noProof/>
          <w:color w:val="000000"/>
        </w:rPr>
      </w:pPr>
      <w:r>
        <w:rPr>
          <w:i/>
          <w:noProof/>
          <w:color w:val="000000"/>
        </w:rPr>
        <w:t>J.D. v. Georgetown Indep. Sch. Dist.</w:t>
      </w:r>
      <w:r w:rsidR="00BE5EE8">
        <w:rPr>
          <w:i/>
          <w:noProof/>
          <w:color w:val="000000"/>
        </w:rPr>
        <w:t>,</w:t>
      </w:r>
      <w:r>
        <w:rPr>
          <w:i/>
          <w:noProof/>
          <w:color w:val="000000"/>
        </w:rPr>
        <w:t xml:space="preserve"> </w:t>
      </w:r>
      <w:r w:rsidRPr="009916E5">
        <w:rPr>
          <w:noProof/>
          <w:color w:val="000000"/>
        </w:rPr>
        <w:br/>
      </w:r>
      <w:r>
        <w:rPr>
          <w:noProof/>
          <w:color w:val="000000"/>
        </w:rPr>
        <w:t>No. 10-CA-717, 2011 U.S. Dist. LEXIS 79335 (W.D. Tex. July 21, 2011)</w:t>
      </w:r>
      <w:r>
        <w:rPr>
          <w:noProof/>
        </w:rPr>
        <w:tab/>
        <w:t>25</w:t>
      </w:r>
    </w:p>
    <w:p w14:paraId="483F54B3" w14:textId="069A2C07" w:rsidR="00C2098E" w:rsidRDefault="00C2098E">
      <w:pPr>
        <w:pStyle w:val="TableofAuthorities"/>
        <w:tabs>
          <w:tab w:val="right" w:leader="dot" w:pos="9350"/>
        </w:tabs>
        <w:rPr>
          <w:i/>
          <w:noProof/>
          <w:color w:val="000000"/>
        </w:rPr>
      </w:pPr>
      <w:r>
        <w:rPr>
          <w:i/>
          <w:noProof/>
          <w:color w:val="000000"/>
        </w:rPr>
        <w:lastRenderedPageBreak/>
        <w:t>Kline v. Hall</w:t>
      </w:r>
      <w:r w:rsidRPr="009916E5">
        <w:rPr>
          <w:noProof/>
          <w:color w:val="000000"/>
        </w:rPr>
        <w:t>,</w:t>
      </w:r>
      <w:r w:rsidRPr="009916E5">
        <w:rPr>
          <w:noProof/>
          <w:color w:val="000000"/>
        </w:rPr>
        <w:br/>
      </w:r>
      <w:r>
        <w:rPr>
          <w:noProof/>
          <w:color w:val="000000"/>
        </w:rPr>
        <w:t>12-CV-1727, 2013 U.S. Dist. LEXIS 59143 (M.D. Pa. Apr. 25, 2013)</w:t>
      </w:r>
      <w:r>
        <w:rPr>
          <w:noProof/>
        </w:rPr>
        <w:tab/>
        <w:t>20</w:t>
      </w:r>
    </w:p>
    <w:p w14:paraId="2FF219CD" w14:textId="407AF615" w:rsidR="00BF041A" w:rsidRDefault="00BF041A">
      <w:pPr>
        <w:pStyle w:val="TableofAuthorities"/>
        <w:tabs>
          <w:tab w:val="right" w:leader="dot" w:pos="9350"/>
        </w:tabs>
        <w:rPr>
          <w:noProof/>
        </w:rPr>
      </w:pPr>
      <w:r w:rsidRPr="009916E5">
        <w:rPr>
          <w:i/>
          <w:noProof/>
          <w:color w:val="000000"/>
        </w:rPr>
        <w:t>Liggon-Redding v. Souser</w:t>
      </w:r>
      <w:r w:rsidRPr="009916E5">
        <w:rPr>
          <w:noProof/>
          <w:color w:val="000000"/>
        </w:rPr>
        <w:t>,</w:t>
      </w:r>
      <w:r w:rsidRPr="009916E5">
        <w:rPr>
          <w:noProof/>
          <w:color w:val="000000"/>
        </w:rPr>
        <w:br/>
        <w:t>352 F. App’x 618 (3d Cir. 2009)</w:t>
      </w:r>
      <w:r>
        <w:rPr>
          <w:noProof/>
        </w:rPr>
        <w:tab/>
        <w:t>29</w:t>
      </w:r>
    </w:p>
    <w:p w14:paraId="75D48F42" w14:textId="77777777" w:rsidR="00BF041A" w:rsidRDefault="00BF041A">
      <w:pPr>
        <w:pStyle w:val="TableofAuthorities"/>
        <w:tabs>
          <w:tab w:val="right" w:leader="dot" w:pos="9350"/>
        </w:tabs>
        <w:rPr>
          <w:noProof/>
        </w:rPr>
      </w:pPr>
      <w:r w:rsidRPr="009916E5">
        <w:rPr>
          <w:i/>
          <w:noProof/>
          <w:color w:val="000000"/>
        </w:rPr>
        <w:t>Marcus v. Twp. of Abington</w:t>
      </w:r>
      <w:r w:rsidRPr="009916E5">
        <w:rPr>
          <w:noProof/>
          <w:color w:val="000000"/>
        </w:rPr>
        <w:t>,</w:t>
      </w:r>
      <w:r w:rsidRPr="009916E5">
        <w:rPr>
          <w:noProof/>
          <w:color w:val="000000"/>
        </w:rPr>
        <w:br/>
        <w:t>38 F.3d 1357 (3d Cir. 1994)</w:t>
      </w:r>
      <w:r>
        <w:rPr>
          <w:noProof/>
        </w:rPr>
        <w:tab/>
        <w:t>7</w:t>
      </w:r>
    </w:p>
    <w:p w14:paraId="77B733DB" w14:textId="77777777" w:rsidR="00BF041A" w:rsidRDefault="00BF041A">
      <w:pPr>
        <w:pStyle w:val="TableofAuthorities"/>
        <w:tabs>
          <w:tab w:val="right" w:leader="dot" w:pos="9350"/>
        </w:tabs>
        <w:rPr>
          <w:noProof/>
        </w:rPr>
      </w:pPr>
      <w:r w:rsidRPr="009916E5">
        <w:rPr>
          <w:i/>
          <w:noProof/>
          <w:color w:val="000000"/>
        </w:rPr>
        <w:t>Menkowitz v. Pottstown Mem. Med. Ctr.</w:t>
      </w:r>
      <w:r w:rsidRPr="009916E5">
        <w:rPr>
          <w:noProof/>
          <w:color w:val="000000"/>
        </w:rPr>
        <w:t>,</w:t>
      </w:r>
      <w:r w:rsidRPr="009916E5">
        <w:rPr>
          <w:noProof/>
          <w:color w:val="000000"/>
        </w:rPr>
        <w:br/>
        <w:t>154 F.3d 113 (3d Cir. 1998)</w:t>
      </w:r>
      <w:r>
        <w:rPr>
          <w:noProof/>
        </w:rPr>
        <w:tab/>
        <w:t>5</w:t>
      </w:r>
    </w:p>
    <w:p w14:paraId="4A4D4F05" w14:textId="77777777" w:rsidR="00BF041A" w:rsidRDefault="00BF041A">
      <w:pPr>
        <w:pStyle w:val="TableofAuthorities"/>
        <w:tabs>
          <w:tab w:val="right" w:leader="dot" w:pos="9350"/>
        </w:tabs>
        <w:rPr>
          <w:noProof/>
        </w:rPr>
      </w:pPr>
      <w:r w:rsidRPr="009916E5">
        <w:rPr>
          <w:i/>
          <w:noProof/>
          <w:color w:val="000000"/>
        </w:rPr>
        <w:t>Michelson v. Citicorp Nat. Servs., Inc.</w:t>
      </w:r>
      <w:r w:rsidRPr="009916E5">
        <w:rPr>
          <w:noProof/>
          <w:color w:val="000000"/>
        </w:rPr>
        <w:t>,</w:t>
      </w:r>
      <w:r w:rsidRPr="009916E5">
        <w:rPr>
          <w:noProof/>
          <w:color w:val="000000"/>
        </w:rPr>
        <w:br/>
        <w:t>138 F.3d 508 (3d Cir. 1998)</w:t>
      </w:r>
      <w:r>
        <w:rPr>
          <w:noProof/>
        </w:rPr>
        <w:tab/>
        <w:t>7, 10</w:t>
      </w:r>
    </w:p>
    <w:p w14:paraId="12DD5367" w14:textId="77777777" w:rsidR="00BF041A" w:rsidRDefault="00BF041A">
      <w:pPr>
        <w:pStyle w:val="TableofAuthorities"/>
        <w:tabs>
          <w:tab w:val="right" w:leader="dot" w:pos="9350"/>
        </w:tabs>
        <w:rPr>
          <w:noProof/>
        </w:rPr>
      </w:pPr>
      <w:r w:rsidRPr="009916E5">
        <w:rPr>
          <w:i/>
          <w:noProof/>
          <w:color w:val="000000"/>
        </w:rPr>
        <w:t>Moses H. Cone Memorial Hosp. v. Mercury Constr. Corp.</w:t>
      </w:r>
      <w:r w:rsidRPr="009916E5">
        <w:rPr>
          <w:noProof/>
          <w:color w:val="000000"/>
        </w:rPr>
        <w:t>,</w:t>
      </w:r>
      <w:r w:rsidRPr="009916E5">
        <w:rPr>
          <w:noProof/>
          <w:color w:val="000000"/>
        </w:rPr>
        <w:br/>
        <w:t>460 U.S. 1 (1983)</w:t>
      </w:r>
      <w:r>
        <w:rPr>
          <w:noProof/>
        </w:rPr>
        <w:tab/>
        <w:t>7, 8</w:t>
      </w:r>
    </w:p>
    <w:p w14:paraId="4FD54F10" w14:textId="77777777" w:rsidR="00BF041A" w:rsidRDefault="00BF041A">
      <w:pPr>
        <w:pStyle w:val="TableofAuthorities"/>
        <w:tabs>
          <w:tab w:val="right" w:leader="dot" w:pos="9350"/>
        </w:tabs>
        <w:rPr>
          <w:noProof/>
        </w:rPr>
      </w:pPr>
      <w:r w:rsidRPr="009916E5">
        <w:rPr>
          <w:i/>
          <w:noProof/>
          <w:color w:val="000000"/>
        </w:rPr>
        <w:t>Nationwide Mut. Fire Ins. Co. v. George V. Hamilton, Inc.</w:t>
      </w:r>
      <w:r w:rsidRPr="009916E5">
        <w:rPr>
          <w:noProof/>
          <w:color w:val="000000"/>
        </w:rPr>
        <w:t>,</w:t>
      </w:r>
      <w:r w:rsidRPr="009916E5">
        <w:rPr>
          <w:noProof/>
          <w:color w:val="000000"/>
        </w:rPr>
        <w:br/>
        <w:t>571 F.3d 299 (3d Cir. 2009)</w:t>
      </w:r>
      <w:r>
        <w:rPr>
          <w:noProof/>
        </w:rPr>
        <w:tab/>
        <w:t>8, 10</w:t>
      </w:r>
    </w:p>
    <w:p w14:paraId="2EA17AAB" w14:textId="3B262593" w:rsidR="00890947" w:rsidRDefault="00890947" w:rsidP="00890947">
      <w:pPr>
        <w:pStyle w:val="TableofAuthorities"/>
        <w:tabs>
          <w:tab w:val="right" w:leader="dot" w:pos="9350"/>
        </w:tabs>
        <w:rPr>
          <w:noProof/>
        </w:rPr>
      </w:pPr>
      <w:r w:rsidRPr="001A1FD3">
        <w:rPr>
          <w:i/>
        </w:rPr>
        <w:t>Perdue v. City of Wilmington</w:t>
      </w:r>
      <w:r w:rsidR="00BE5EE8">
        <w:rPr>
          <w:i/>
        </w:rPr>
        <w:t>,</w:t>
      </w:r>
      <w:r>
        <w:rPr>
          <w:noProof/>
          <w:color w:val="000000"/>
        </w:rPr>
        <w:br/>
      </w:r>
      <w:r w:rsidRPr="001A1FD3">
        <w:t>No. 14-CV-44, 2014 U.S. Dist. LEXIS 86944 (D. Del. June 26, 2014)</w:t>
      </w:r>
      <w:r>
        <w:rPr>
          <w:noProof/>
        </w:rPr>
        <w:tab/>
        <w:t>29</w:t>
      </w:r>
    </w:p>
    <w:p w14:paraId="40FD0BE1" w14:textId="41FF3DEC" w:rsidR="005E33A0" w:rsidRDefault="005E33A0" w:rsidP="005E33A0">
      <w:pPr>
        <w:pStyle w:val="TableofAuthorities"/>
        <w:tabs>
          <w:tab w:val="right" w:leader="dot" w:pos="9350"/>
        </w:tabs>
        <w:rPr>
          <w:noProof/>
        </w:rPr>
      </w:pPr>
      <w:r w:rsidRPr="001A1FD3">
        <w:rPr>
          <w:i/>
        </w:rPr>
        <w:lastRenderedPageBreak/>
        <w:t>Perkinelmer, Inc. v. Bruker Corp.</w:t>
      </w:r>
      <w:r w:rsidR="00BE5EE8">
        <w:rPr>
          <w:i/>
        </w:rPr>
        <w:t>,</w:t>
      </w:r>
      <w:r>
        <w:rPr>
          <w:noProof/>
          <w:color w:val="000000"/>
        </w:rPr>
        <w:br/>
        <w:t>No. C-13-1602, 2013 U.S. Dist. LEXIS 107665 (N.D. Cal. July 30, 2013)</w:t>
      </w:r>
      <w:r>
        <w:rPr>
          <w:noProof/>
        </w:rPr>
        <w:tab/>
        <w:t>18</w:t>
      </w:r>
    </w:p>
    <w:p w14:paraId="57A724B4" w14:textId="3E40012F" w:rsidR="00BF041A" w:rsidRDefault="00BF041A" w:rsidP="00BF041A">
      <w:pPr>
        <w:pStyle w:val="TableofAuthorities"/>
        <w:tabs>
          <w:tab w:val="right" w:leader="dot" w:pos="9350"/>
        </w:tabs>
        <w:rPr>
          <w:noProof/>
        </w:rPr>
      </w:pPr>
      <w:r w:rsidRPr="001A1FD3">
        <w:rPr>
          <w:i/>
        </w:rPr>
        <w:t>Public Interest Research Group of New Jersey v. Powell Duffryn Terminals, Inc.</w:t>
      </w:r>
      <w:r>
        <w:rPr>
          <w:noProof/>
          <w:color w:val="000000"/>
        </w:rPr>
        <w:br/>
      </w:r>
      <w:r w:rsidRPr="009916E5">
        <w:rPr>
          <w:noProof/>
          <w:color w:val="000000"/>
        </w:rPr>
        <w:t>913 F.2d 64 (3d Cir. 1990)</w:t>
      </w:r>
      <w:r>
        <w:rPr>
          <w:noProof/>
        </w:rPr>
        <w:tab/>
        <w:t>29</w:t>
      </w:r>
    </w:p>
    <w:p w14:paraId="4546FEF1" w14:textId="0F46B81A" w:rsidR="00BF041A" w:rsidRDefault="00BF041A">
      <w:pPr>
        <w:pStyle w:val="TableofAuthorities"/>
        <w:tabs>
          <w:tab w:val="right" w:leader="dot" w:pos="9350"/>
        </w:tabs>
        <w:rPr>
          <w:noProof/>
        </w:rPr>
      </w:pPr>
      <w:r w:rsidRPr="009916E5">
        <w:rPr>
          <w:i/>
          <w:noProof/>
          <w:color w:val="000000"/>
        </w:rPr>
        <w:t>Quackenbush v. Allstate Ins. Co.</w:t>
      </w:r>
      <w:r w:rsidRPr="009916E5">
        <w:rPr>
          <w:noProof/>
          <w:color w:val="000000"/>
        </w:rPr>
        <w:t>,</w:t>
      </w:r>
      <w:r w:rsidRPr="009916E5">
        <w:rPr>
          <w:noProof/>
          <w:color w:val="000000"/>
        </w:rPr>
        <w:br/>
        <w:t>517 U.S. 706 (1996)</w:t>
      </w:r>
      <w:r>
        <w:rPr>
          <w:noProof/>
        </w:rPr>
        <w:tab/>
        <w:t>8</w:t>
      </w:r>
    </w:p>
    <w:p w14:paraId="4FAF2D21" w14:textId="77777777" w:rsidR="00BF041A" w:rsidRDefault="00BF041A">
      <w:pPr>
        <w:pStyle w:val="TableofAuthorities"/>
        <w:tabs>
          <w:tab w:val="right" w:leader="dot" w:pos="9350"/>
        </w:tabs>
        <w:rPr>
          <w:noProof/>
        </w:rPr>
      </w:pPr>
      <w:r w:rsidRPr="009916E5">
        <w:rPr>
          <w:i/>
          <w:noProof/>
          <w:color w:val="000000"/>
        </w:rPr>
        <w:t>RKO-Stanley Warner Theaters, Inc. v. Mellon Nat'l Bank &amp; Trust</w:t>
      </w:r>
      <w:r w:rsidRPr="009916E5">
        <w:rPr>
          <w:noProof/>
          <w:color w:val="000000"/>
        </w:rPr>
        <w:t>,</w:t>
      </w:r>
      <w:r w:rsidRPr="009916E5">
        <w:rPr>
          <w:noProof/>
          <w:color w:val="000000"/>
        </w:rPr>
        <w:br/>
        <w:t>436 F.2d 1297 (3d Cir. 1970)</w:t>
      </w:r>
      <w:r>
        <w:rPr>
          <w:noProof/>
        </w:rPr>
        <w:tab/>
        <w:t>28</w:t>
      </w:r>
    </w:p>
    <w:p w14:paraId="0E633311" w14:textId="77777777" w:rsidR="00BF041A" w:rsidRDefault="00BF041A">
      <w:pPr>
        <w:pStyle w:val="TableofAuthorities"/>
        <w:tabs>
          <w:tab w:val="right" w:leader="dot" w:pos="9350"/>
        </w:tabs>
        <w:rPr>
          <w:noProof/>
        </w:rPr>
      </w:pPr>
      <w:r w:rsidRPr="009916E5">
        <w:rPr>
          <w:i/>
          <w:noProof/>
          <w:color w:val="000000"/>
        </w:rPr>
        <w:t>Rothschild v. Grottenthaler</w:t>
      </w:r>
      <w:r w:rsidRPr="009916E5">
        <w:rPr>
          <w:noProof/>
          <w:color w:val="000000"/>
        </w:rPr>
        <w:t>,</w:t>
      </w:r>
      <w:r w:rsidRPr="009916E5">
        <w:rPr>
          <w:noProof/>
          <w:color w:val="000000"/>
        </w:rPr>
        <w:br/>
        <w:t>907 F.2d 286 (2d Cir. 1990)</w:t>
      </w:r>
      <w:r>
        <w:rPr>
          <w:noProof/>
        </w:rPr>
        <w:tab/>
        <w:t>22</w:t>
      </w:r>
    </w:p>
    <w:p w14:paraId="5DE2D8C4" w14:textId="13CEDB34" w:rsidR="000C56E9" w:rsidRDefault="000C56E9" w:rsidP="000C56E9">
      <w:pPr>
        <w:pStyle w:val="TableofAuthorities"/>
        <w:tabs>
          <w:tab w:val="right" w:leader="dot" w:pos="9350"/>
        </w:tabs>
        <w:rPr>
          <w:i/>
          <w:noProof/>
          <w:color w:val="000000"/>
        </w:rPr>
      </w:pPr>
      <w:r>
        <w:rPr>
          <w:i/>
          <w:noProof/>
          <w:color w:val="000000"/>
        </w:rPr>
        <w:t>Simenson v. Hoffman</w:t>
      </w:r>
      <w:r w:rsidRPr="009916E5">
        <w:rPr>
          <w:noProof/>
          <w:color w:val="000000"/>
        </w:rPr>
        <w:t>,</w:t>
      </w:r>
      <w:r w:rsidRPr="009916E5">
        <w:rPr>
          <w:noProof/>
          <w:color w:val="000000"/>
        </w:rPr>
        <w:br/>
      </w:r>
      <w:r>
        <w:rPr>
          <w:noProof/>
          <w:color w:val="000000"/>
        </w:rPr>
        <w:t>No. 95-1401, 1995 U.S. Dist. LEXIS 1577 (N.D. Ill. Oct. 20, 1995)</w:t>
      </w:r>
      <w:r>
        <w:rPr>
          <w:noProof/>
        </w:rPr>
        <w:tab/>
        <w:t>24</w:t>
      </w:r>
    </w:p>
    <w:p w14:paraId="4A4B928D" w14:textId="6830F69A" w:rsidR="00BF041A" w:rsidRDefault="00BF041A">
      <w:pPr>
        <w:pStyle w:val="TableofAuthorities"/>
        <w:tabs>
          <w:tab w:val="right" w:leader="dot" w:pos="9350"/>
        </w:tabs>
        <w:rPr>
          <w:noProof/>
        </w:rPr>
      </w:pPr>
      <w:r w:rsidRPr="009916E5">
        <w:rPr>
          <w:noProof/>
          <w:color w:val="000000"/>
        </w:rPr>
        <w:t>S</w:t>
      </w:r>
      <w:r w:rsidRPr="009916E5">
        <w:rPr>
          <w:i/>
          <w:noProof/>
          <w:color w:val="000000"/>
        </w:rPr>
        <w:t>heely v. MRI Radiology Network</w:t>
      </w:r>
      <w:r w:rsidRPr="009916E5">
        <w:rPr>
          <w:noProof/>
          <w:color w:val="000000"/>
        </w:rPr>
        <w:t>,</w:t>
      </w:r>
      <w:r w:rsidRPr="009916E5">
        <w:rPr>
          <w:noProof/>
          <w:color w:val="000000"/>
        </w:rPr>
        <w:br/>
        <w:t>505 F.3d 1173 (11th Cir. 2007)</w:t>
      </w:r>
      <w:r>
        <w:rPr>
          <w:noProof/>
        </w:rPr>
        <w:tab/>
        <w:t>22</w:t>
      </w:r>
    </w:p>
    <w:p w14:paraId="67DC38E3" w14:textId="77777777" w:rsidR="00426573" w:rsidRDefault="00426573" w:rsidP="00426573">
      <w:pPr>
        <w:pStyle w:val="TableofAuthorities"/>
        <w:tabs>
          <w:tab w:val="right" w:leader="dot" w:pos="9350"/>
        </w:tabs>
        <w:rPr>
          <w:noProof/>
        </w:rPr>
      </w:pPr>
      <w:r w:rsidRPr="001A1FD3">
        <w:rPr>
          <w:i/>
        </w:rPr>
        <w:t>S.K. v. Alleghany School District</w:t>
      </w:r>
      <w:r>
        <w:t>,</w:t>
      </w:r>
      <w:r>
        <w:rPr>
          <w:noProof/>
          <w:color w:val="000000"/>
        </w:rPr>
        <w:br/>
      </w:r>
      <w:r w:rsidRPr="009916E5">
        <w:rPr>
          <w:noProof/>
          <w:color w:val="000000"/>
        </w:rPr>
        <w:t>146 F. Supp. 3d 700 (W.D. Pa. 2015)</w:t>
      </w:r>
      <w:r>
        <w:rPr>
          <w:noProof/>
        </w:rPr>
        <w:tab/>
        <w:t>25</w:t>
      </w:r>
    </w:p>
    <w:p w14:paraId="6A2192C1" w14:textId="3B12E99D" w:rsidR="00890947" w:rsidRDefault="00947503" w:rsidP="00890947">
      <w:pPr>
        <w:pStyle w:val="TableofAuthorities"/>
        <w:tabs>
          <w:tab w:val="right" w:leader="dot" w:pos="9350"/>
        </w:tabs>
        <w:rPr>
          <w:noProof/>
        </w:rPr>
      </w:pPr>
      <w:r w:rsidRPr="001A1FD3">
        <w:rPr>
          <w:i/>
        </w:rPr>
        <w:lastRenderedPageBreak/>
        <w:t>Spect</w:t>
      </w:r>
      <w:r>
        <w:rPr>
          <w:i/>
        </w:rPr>
        <w:t>or v. Norwegian Cruise Line Ltd</w:t>
      </w:r>
      <w:r w:rsidR="00890947" w:rsidRPr="009916E5">
        <w:rPr>
          <w:i/>
          <w:noProof/>
          <w:color w:val="000000"/>
        </w:rPr>
        <w:t>.</w:t>
      </w:r>
      <w:r w:rsidR="00890947" w:rsidRPr="009916E5">
        <w:rPr>
          <w:noProof/>
          <w:color w:val="000000"/>
        </w:rPr>
        <w:t>,</w:t>
      </w:r>
      <w:r w:rsidR="00890947" w:rsidRPr="009916E5">
        <w:rPr>
          <w:noProof/>
          <w:color w:val="000000"/>
        </w:rPr>
        <w:br/>
      </w:r>
      <w:r w:rsidRPr="001A1FD3">
        <w:t>No. 00-</w:t>
      </w:r>
      <w:r>
        <w:t>CV-</w:t>
      </w:r>
      <w:r w:rsidRPr="001A1FD3">
        <w:t>2649, 2002 U.S. Dist. LEXIS 28074 (S.D. Tex. Sept. 9, 2002)</w:t>
      </w:r>
      <w:r>
        <w:rPr>
          <w:noProof/>
        </w:rPr>
        <w:tab/>
        <w:t>27</w:t>
      </w:r>
    </w:p>
    <w:p w14:paraId="50421A44" w14:textId="515269B3" w:rsidR="00BF041A" w:rsidRDefault="00BF041A">
      <w:pPr>
        <w:pStyle w:val="TableofAuthorities"/>
        <w:tabs>
          <w:tab w:val="right" w:leader="dot" w:pos="9350"/>
        </w:tabs>
        <w:rPr>
          <w:noProof/>
        </w:rPr>
      </w:pPr>
      <w:r w:rsidRPr="009916E5">
        <w:rPr>
          <w:i/>
          <w:noProof/>
          <w:color w:val="000000"/>
        </w:rPr>
        <w:t>Spring City Corp. v. American Bldgs. Co.</w:t>
      </w:r>
      <w:r w:rsidRPr="009916E5">
        <w:rPr>
          <w:noProof/>
          <w:color w:val="000000"/>
        </w:rPr>
        <w:t>,</w:t>
      </w:r>
      <w:r w:rsidRPr="009916E5">
        <w:rPr>
          <w:noProof/>
          <w:color w:val="000000"/>
        </w:rPr>
        <w:br/>
        <w:t>193 F.3d 165 (3d Cir. 1999)</w:t>
      </w:r>
      <w:r>
        <w:rPr>
          <w:noProof/>
        </w:rPr>
        <w:tab/>
        <w:t>11</w:t>
      </w:r>
    </w:p>
    <w:p w14:paraId="12F683E3" w14:textId="77777777" w:rsidR="00BF041A" w:rsidRDefault="00BF041A">
      <w:pPr>
        <w:pStyle w:val="TableofAuthorities"/>
        <w:tabs>
          <w:tab w:val="right" w:leader="dot" w:pos="9350"/>
        </w:tabs>
        <w:rPr>
          <w:noProof/>
        </w:rPr>
      </w:pPr>
      <w:r w:rsidRPr="009916E5">
        <w:rPr>
          <w:i/>
          <w:noProof/>
          <w:color w:val="000000"/>
        </w:rPr>
        <w:t>Suppan v. Dadonna</w:t>
      </w:r>
      <w:r w:rsidRPr="009916E5">
        <w:rPr>
          <w:noProof/>
          <w:color w:val="000000"/>
        </w:rPr>
        <w:t>,</w:t>
      </w:r>
      <w:r w:rsidRPr="009916E5">
        <w:rPr>
          <w:noProof/>
          <w:color w:val="000000"/>
        </w:rPr>
        <w:br/>
        <w:t>203 F.3d 228 (3d Cir. 2000)</w:t>
      </w:r>
      <w:r>
        <w:rPr>
          <w:noProof/>
        </w:rPr>
        <w:tab/>
        <w:t>19</w:t>
      </w:r>
    </w:p>
    <w:p w14:paraId="162E657F" w14:textId="77777777" w:rsidR="00BF041A" w:rsidRDefault="00BF041A">
      <w:pPr>
        <w:pStyle w:val="TableofAuthorities"/>
        <w:tabs>
          <w:tab w:val="right" w:leader="dot" w:pos="9350"/>
        </w:tabs>
        <w:rPr>
          <w:noProof/>
        </w:rPr>
      </w:pPr>
      <w:r w:rsidRPr="009916E5">
        <w:rPr>
          <w:i/>
          <w:noProof/>
          <w:color w:val="000000"/>
        </w:rPr>
        <w:t>Talmage v. Harris</w:t>
      </w:r>
      <w:r w:rsidRPr="009916E5">
        <w:rPr>
          <w:noProof/>
          <w:color w:val="000000"/>
        </w:rPr>
        <w:t>,</w:t>
      </w:r>
      <w:r w:rsidRPr="009916E5">
        <w:rPr>
          <w:noProof/>
          <w:color w:val="000000"/>
        </w:rPr>
        <w:br/>
        <w:t>486 F.3d 968 (7th Cir. 2007)</w:t>
      </w:r>
      <w:r>
        <w:rPr>
          <w:noProof/>
        </w:rPr>
        <w:tab/>
        <w:t>21</w:t>
      </w:r>
    </w:p>
    <w:p w14:paraId="5368B9AD" w14:textId="589EE3F5" w:rsidR="00947503" w:rsidRDefault="00947503" w:rsidP="00947503">
      <w:pPr>
        <w:pStyle w:val="TableofAuthorities"/>
        <w:tabs>
          <w:tab w:val="right" w:leader="dot" w:pos="9350"/>
        </w:tabs>
        <w:rPr>
          <w:noProof/>
        </w:rPr>
      </w:pPr>
      <w:r w:rsidRPr="001A1FD3">
        <w:rPr>
          <w:i/>
        </w:rPr>
        <w:t>Triman Indus. v. Pentagon 2000 Software, Inc.</w:t>
      </w:r>
      <w:r w:rsidRPr="009916E5">
        <w:rPr>
          <w:noProof/>
          <w:color w:val="000000"/>
        </w:rPr>
        <w:t>,</w:t>
      </w:r>
      <w:r w:rsidRPr="009916E5">
        <w:rPr>
          <w:noProof/>
          <w:color w:val="000000"/>
        </w:rPr>
        <w:br/>
      </w:r>
      <w:r w:rsidRPr="001A1FD3">
        <w:t>No. 14-CV-58</w:t>
      </w:r>
      <w:r>
        <w:t>42, 2015 U.S. Dist. LEXIS 56494</w:t>
      </w:r>
      <w:r w:rsidRPr="001A1FD3">
        <w:t xml:space="preserve"> (D.N.J. Apr. 30, 2015)</w:t>
      </w:r>
      <w:r>
        <w:rPr>
          <w:noProof/>
        </w:rPr>
        <w:tab/>
        <w:t>29</w:t>
      </w:r>
    </w:p>
    <w:p w14:paraId="58733011" w14:textId="446CB97D" w:rsidR="00E168F3" w:rsidRDefault="00E168F3">
      <w:pPr>
        <w:pStyle w:val="TableofAuthorities"/>
        <w:tabs>
          <w:tab w:val="right" w:leader="dot" w:pos="9350"/>
        </w:tabs>
        <w:rPr>
          <w:i/>
          <w:noProof/>
          <w:color w:val="000000"/>
        </w:rPr>
      </w:pPr>
      <w:r w:rsidRPr="001A1FD3">
        <w:rPr>
          <w:i/>
        </w:rPr>
        <w:t xml:space="preserve">United States v. $1,879,991.64 Previously Contained in </w:t>
      </w:r>
      <w:r>
        <w:rPr>
          <w:i/>
        </w:rPr>
        <w:fldChar w:fldCharType="begin"/>
      </w:r>
      <w:r w:rsidRPr="00BF041A">
        <w:instrText xml:space="preserve"> TA \l "</w:instrText>
      </w:r>
      <w:r w:rsidRPr="00BF041A">
        <w:rPr>
          <w:i/>
          <w:color w:val="000000"/>
        </w:rPr>
        <w:instrText>Sberbank of Russia’s Interbank</w:instrText>
      </w:r>
      <w:r w:rsidRPr="00BF041A">
        <w:rPr>
          <w:color w:val="000000"/>
        </w:rPr>
        <w:instrText>,</w:instrText>
      </w:r>
      <w:r w:rsidRPr="00BF041A">
        <w:rPr>
          <w:color w:val="000000"/>
        </w:rPr>
        <w:br/>
        <w:instrText>185 F. Supp. 3d 493 (D.N.J. 2016)</w:instrText>
      </w:r>
      <w:r w:rsidRPr="00BF041A">
        <w:instrText xml:space="preserve">" \s "dabmci_13ed7c8b18d4416ba4c97a9b3bf7951a_3" \c 1 </w:instrText>
      </w:r>
      <w:r>
        <w:rPr>
          <w:i/>
        </w:rPr>
        <w:fldChar w:fldCharType="end"/>
      </w:r>
      <w:r>
        <w:rPr>
          <w:i/>
        </w:rPr>
        <w:t xml:space="preserve">Sberbank of Russia’s </w:t>
      </w:r>
      <w:r w:rsidRPr="001A1FD3">
        <w:rPr>
          <w:i/>
        </w:rPr>
        <w:t>Interbank</w:t>
      </w:r>
      <w:r w:rsidRPr="009916E5">
        <w:rPr>
          <w:noProof/>
          <w:color w:val="000000"/>
        </w:rPr>
        <w:t>,</w:t>
      </w:r>
      <w:r w:rsidRPr="009916E5">
        <w:rPr>
          <w:noProof/>
          <w:color w:val="000000"/>
        </w:rPr>
        <w:br/>
      </w:r>
      <w:r w:rsidRPr="001A1FD3">
        <w:t>185 F. Supp. 3d 493 (D.N.J. 2016)</w:t>
      </w:r>
      <w:r>
        <w:rPr>
          <w:noProof/>
        </w:rPr>
        <w:tab/>
        <w:t>13, 14</w:t>
      </w:r>
      <w:r w:rsidR="00C87FF5">
        <w:rPr>
          <w:noProof/>
        </w:rPr>
        <w:t>, 15</w:t>
      </w:r>
    </w:p>
    <w:p w14:paraId="0CF87E4D" w14:textId="44B91AA9" w:rsidR="00BF041A" w:rsidRDefault="00BF041A">
      <w:pPr>
        <w:pStyle w:val="TableofAuthorities"/>
        <w:tabs>
          <w:tab w:val="right" w:leader="dot" w:pos="9350"/>
        </w:tabs>
        <w:rPr>
          <w:noProof/>
        </w:rPr>
      </w:pPr>
      <w:r w:rsidRPr="009916E5">
        <w:rPr>
          <w:i/>
          <w:noProof/>
          <w:color w:val="000000"/>
        </w:rPr>
        <w:t>United States v. Nobel Learning Cmtys., Inc.</w:t>
      </w:r>
      <w:r w:rsidRPr="009916E5">
        <w:rPr>
          <w:noProof/>
          <w:color w:val="000000"/>
        </w:rPr>
        <w:t>,</w:t>
      </w:r>
      <w:r w:rsidRPr="009916E5">
        <w:rPr>
          <w:noProof/>
          <w:color w:val="000000"/>
        </w:rPr>
        <w:br/>
        <w:t>676 F. Supp. 2d 379 (E.D. Pa. 2009)</w:t>
      </w:r>
      <w:r>
        <w:rPr>
          <w:noProof/>
        </w:rPr>
        <w:tab/>
        <w:t>16, 24</w:t>
      </w:r>
    </w:p>
    <w:p w14:paraId="67D2E9A0" w14:textId="08B9C9F7" w:rsidR="00C87FF5" w:rsidRDefault="00C87FF5" w:rsidP="00C87FF5">
      <w:pPr>
        <w:pStyle w:val="TableofAuthorities"/>
        <w:tabs>
          <w:tab w:val="right" w:leader="dot" w:pos="9350"/>
        </w:tabs>
        <w:rPr>
          <w:noProof/>
        </w:rPr>
      </w:pPr>
      <w:r w:rsidRPr="009916E5">
        <w:rPr>
          <w:i/>
          <w:noProof/>
          <w:color w:val="000000"/>
        </w:rPr>
        <w:t>United States v. Nobel Learning Cmtys., Inc.</w:t>
      </w:r>
      <w:r w:rsidRPr="009916E5">
        <w:rPr>
          <w:noProof/>
          <w:color w:val="000000"/>
        </w:rPr>
        <w:t>,</w:t>
      </w:r>
      <w:r w:rsidRPr="009916E5">
        <w:rPr>
          <w:noProof/>
          <w:color w:val="000000"/>
        </w:rPr>
        <w:br/>
      </w:r>
      <w:r>
        <w:rPr>
          <w:noProof/>
          <w:color w:val="000000"/>
        </w:rPr>
        <w:t>No. 09-CV-1818, 2010 U.S. Dist. LEXIS 276 (E.D. Pa. Mar. 19, 2010)</w:t>
      </w:r>
      <w:r>
        <w:rPr>
          <w:noProof/>
        </w:rPr>
        <w:tab/>
        <w:t>17</w:t>
      </w:r>
      <w:r w:rsidR="000172CE">
        <w:rPr>
          <w:noProof/>
        </w:rPr>
        <w:t>, 24</w:t>
      </w:r>
    </w:p>
    <w:p w14:paraId="3411F630" w14:textId="27774537" w:rsidR="00BF041A" w:rsidRDefault="00BF041A">
      <w:pPr>
        <w:pStyle w:val="TableofAuthorities"/>
        <w:tabs>
          <w:tab w:val="right" w:leader="dot" w:pos="9350"/>
        </w:tabs>
        <w:rPr>
          <w:noProof/>
        </w:rPr>
      </w:pPr>
      <w:r w:rsidRPr="009916E5">
        <w:rPr>
          <w:i/>
          <w:noProof/>
          <w:color w:val="000000"/>
        </w:rPr>
        <w:lastRenderedPageBreak/>
        <w:t>Wilton v. Sevens Falls Co.</w:t>
      </w:r>
      <w:r w:rsidRPr="009916E5">
        <w:rPr>
          <w:noProof/>
          <w:color w:val="000000"/>
        </w:rPr>
        <w:t>,</w:t>
      </w:r>
      <w:r w:rsidRPr="009916E5">
        <w:rPr>
          <w:noProof/>
          <w:color w:val="000000"/>
        </w:rPr>
        <w:br/>
        <w:t>515 U.S. 277 (1995)</w:t>
      </w:r>
      <w:r>
        <w:rPr>
          <w:noProof/>
        </w:rPr>
        <w:tab/>
        <w:t>10</w:t>
      </w:r>
    </w:p>
    <w:p w14:paraId="032233A5" w14:textId="228DC535" w:rsidR="00C87FF5" w:rsidRDefault="00C87FF5" w:rsidP="00C87FF5">
      <w:pPr>
        <w:pStyle w:val="TableofAuthorities"/>
        <w:tabs>
          <w:tab w:val="right" w:leader="dot" w:pos="9350"/>
        </w:tabs>
        <w:rPr>
          <w:noProof/>
        </w:rPr>
      </w:pPr>
      <w:r>
        <w:rPr>
          <w:i/>
          <w:noProof/>
          <w:color w:val="000000"/>
        </w:rPr>
        <w:t>Wisconsin Elec. Pwr. Co. v. No. Assur. Co. of Am.</w:t>
      </w:r>
      <w:r w:rsidRPr="009916E5">
        <w:rPr>
          <w:noProof/>
          <w:color w:val="000000"/>
        </w:rPr>
        <w:t>,</w:t>
      </w:r>
      <w:r w:rsidRPr="009916E5">
        <w:rPr>
          <w:noProof/>
          <w:color w:val="000000"/>
        </w:rPr>
        <w:br/>
      </w:r>
      <w:r>
        <w:rPr>
          <w:noProof/>
          <w:color w:val="000000"/>
        </w:rPr>
        <w:t>No. 07-CV-722, 2007 U.S. Dist. LEXIS 93933 (W.D. Wis. Dec. 17, 2007)</w:t>
      </w:r>
      <w:r>
        <w:rPr>
          <w:noProof/>
        </w:rPr>
        <w:tab/>
        <w:t>17</w:t>
      </w:r>
      <w:r w:rsidR="005E33A0">
        <w:rPr>
          <w:noProof/>
        </w:rPr>
        <w:t>, 18</w:t>
      </w:r>
    </w:p>
    <w:p w14:paraId="301E5B57" w14:textId="79663B78" w:rsidR="00BF041A" w:rsidRDefault="00BF041A">
      <w:pPr>
        <w:pStyle w:val="TableofAuthorities"/>
        <w:tabs>
          <w:tab w:val="right" w:leader="dot" w:pos="9350"/>
        </w:tabs>
        <w:rPr>
          <w:noProof/>
        </w:rPr>
      </w:pPr>
      <w:r w:rsidRPr="009916E5">
        <w:rPr>
          <w:i/>
          <w:noProof/>
          <w:color w:val="000000"/>
        </w:rPr>
        <w:t>Wyeth v. Abbott Labs.</w:t>
      </w:r>
      <w:r w:rsidRPr="009916E5">
        <w:rPr>
          <w:noProof/>
          <w:color w:val="000000"/>
        </w:rPr>
        <w:t>,</w:t>
      </w:r>
      <w:r w:rsidRPr="009916E5">
        <w:rPr>
          <w:noProof/>
          <w:color w:val="000000"/>
        </w:rPr>
        <w:br/>
        <w:t>No. 09-CV-4850, 2011 WL 380902 (D.N.J. Feb. 1, 2011)</w:t>
      </w:r>
      <w:r>
        <w:rPr>
          <w:noProof/>
        </w:rPr>
        <w:tab/>
        <w:t>14</w:t>
      </w:r>
    </w:p>
    <w:p w14:paraId="33CAA925" w14:textId="791551F3" w:rsidR="00BF041A" w:rsidRDefault="00BF041A" w:rsidP="00BF041A">
      <w:pPr>
        <w:pStyle w:val="TOAHeading"/>
        <w:tabs>
          <w:tab w:val="right" w:leader="dot" w:pos="9350"/>
        </w:tabs>
        <w:jc w:val="center"/>
        <w:rPr>
          <w:rFonts w:asciiTheme="minorHAnsi" w:eastAsiaTheme="minorEastAsia" w:hAnsiTheme="minorHAnsi" w:cstheme="minorBidi"/>
          <w:b w:val="0"/>
          <w:bCs w:val="0"/>
          <w:noProof/>
          <w:sz w:val="22"/>
          <w:szCs w:val="22"/>
        </w:rPr>
      </w:pPr>
      <w:r>
        <w:rPr>
          <w:b w:val="0"/>
          <w:bCs w:val="0"/>
          <w:iCs w:val="0"/>
        </w:rPr>
        <w:fldChar w:fldCharType="end"/>
      </w:r>
      <w:r>
        <w:rPr>
          <w:b w:val="0"/>
          <w:bCs w:val="0"/>
          <w:iCs w:val="0"/>
        </w:rPr>
        <w:fldChar w:fldCharType="begin"/>
      </w:r>
      <w:r>
        <w:rPr>
          <w:b w:val="0"/>
          <w:bCs w:val="0"/>
          <w:iCs w:val="0"/>
        </w:rPr>
        <w:instrText xml:space="preserve"> TOA \h \c "2" \p \d "-" \g "–" \l ", " </w:instrText>
      </w:r>
      <w:r>
        <w:rPr>
          <w:b w:val="0"/>
          <w:bCs w:val="0"/>
          <w:iCs w:val="0"/>
        </w:rPr>
        <w:fldChar w:fldCharType="separate"/>
      </w:r>
      <w:r>
        <w:rPr>
          <w:noProof/>
        </w:rPr>
        <w:t>Statutes</w:t>
      </w:r>
    </w:p>
    <w:p w14:paraId="1AC54B08" w14:textId="761E2F1F" w:rsidR="00890947" w:rsidRDefault="00890947" w:rsidP="00890947">
      <w:pPr>
        <w:pStyle w:val="TableofAuthorities"/>
        <w:tabs>
          <w:tab w:val="right" w:leader="dot" w:pos="9350"/>
        </w:tabs>
        <w:rPr>
          <w:noProof/>
        </w:rPr>
      </w:pPr>
      <w:r>
        <w:rPr>
          <w:noProof/>
          <w:color w:val="000000"/>
        </w:rPr>
        <w:t>42 U.S.C. §</w:t>
      </w:r>
      <w:r w:rsidRPr="000906D2">
        <w:rPr>
          <w:noProof/>
          <w:color w:val="000000"/>
        </w:rPr>
        <w:t xml:space="preserve"> 12101</w:t>
      </w:r>
      <w:r>
        <w:rPr>
          <w:noProof/>
        </w:rPr>
        <w:tab/>
        <w:t>5</w:t>
      </w:r>
      <w:r w:rsidR="00BE5EE8">
        <w:rPr>
          <w:noProof/>
        </w:rPr>
        <w:t>, 28</w:t>
      </w:r>
    </w:p>
    <w:p w14:paraId="3CF11D65" w14:textId="64C81C54" w:rsidR="00890947" w:rsidRDefault="00890947" w:rsidP="00890947">
      <w:pPr>
        <w:pStyle w:val="TableofAuthorities"/>
        <w:tabs>
          <w:tab w:val="right" w:leader="dot" w:pos="9350"/>
        </w:tabs>
        <w:rPr>
          <w:noProof/>
        </w:rPr>
      </w:pPr>
      <w:r w:rsidRPr="000906D2">
        <w:rPr>
          <w:noProof/>
          <w:color w:val="000000"/>
        </w:rPr>
        <w:t>42 U.S.C. § 12181</w:t>
      </w:r>
      <w:r>
        <w:rPr>
          <w:noProof/>
        </w:rPr>
        <w:tab/>
        <w:t>5</w:t>
      </w:r>
      <w:r w:rsidR="00BE5EE8">
        <w:rPr>
          <w:noProof/>
        </w:rPr>
        <w:t>, 25</w:t>
      </w:r>
    </w:p>
    <w:p w14:paraId="765303AE" w14:textId="2814E736" w:rsidR="00890947" w:rsidRDefault="00890947" w:rsidP="00890947">
      <w:pPr>
        <w:pStyle w:val="TableofAuthorities"/>
        <w:tabs>
          <w:tab w:val="right" w:leader="dot" w:pos="9350"/>
        </w:tabs>
        <w:rPr>
          <w:noProof/>
          <w:color w:val="000000"/>
        </w:rPr>
      </w:pPr>
      <w:r>
        <w:rPr>
          <w:noProof/>
          <w:color w:val="000000"/>
        </w:rPr>
        <w:t xml:space="preserve">42 U.S.C. </w:t>
      </w:r>
      <w:r w:rsidRPr="000906D2">
        <w:rPr>
          <w:noProof/>
          <w:color w:val="000000"/>
        </w:rPr>
        <w:t>§ 12182</w:t>
      </w:r>
      <w:r>
        <w:rPr>
          <w:noProof/>
        </w:rPr>
        <w:tab/>
      </w:r>
      <w:r w:rsidR="00BE5EE8" w:rsidRPr="00BE5EE8">
        <w:rPr>
          <w:i/>
          <w:noProof/>
        </w:rPr>
        <w:t xml:space="preserve">passim </w:t>
      </w:r>
    </w:p>
    <w:p w14:paraId="2A6F9C8A" w14:textId="0AE5E41D" w:rsidR="00BF041A" w:rsidRDefault="00BF041A">
      <w:pPr>
        <w:pStyle w:val="TableofAuthorities"/>
        <w:tabs>
          <w:tab w:val="right" w:leader="dot" w:pos="9350"/>
        </w:tabs>
        <w:rPr>
          <w:noProof/>
        </w:rPr>
      </w:pPr>
      <w:r w:rsidRPr="000906D2">
        <w:rPr>
          <w:noProof/>
          <w:color w:val="000000"/>
        </w:rPr>
        <w:t>42 U.S.C. § 12188</w:t>
      </w:r>
      <w:r w:rsidR="00BE5EE8">
        <w:rPr>
          <w:noProof/>
        </w:rPr>
        <w:tab/>
      </w:r>
      <w:r w:rsidR="00BE5EE8" w:rsidRPr="00BE5EE8">
        <w:rPr>
          <w:i/>
          <w:noProof/>
        </w:rPr>
        <w:t>passim</w:t>
      </w:r>
    </w:p>
    <w:p w14:paraId="52B82747" w14:textId="77777777" w:rsidR="00890947" w:rsidRPr="00890947" w:rsidRDefault="00890947" w:rsidP="00890947"/>
    <w:p w14:paraId="300991F7" w14:textId="5FAABABC" w:rsidR="00BF041A" w:rsidRDefault="00BF041A" w:rsidP="00BF041A">
      <w:pPr>
        <w:pStyle w:val="TOAHeading"/>
        <w:tabs>
          <w:tab w:val="right" w:leader="dot" w:pos="9350"/>
        </w:tabs>
        <w:jc w:val="center"/>
        <w:rPr>
          <w:rFonts w:asciiTheme="minorHAnsi" w:eastAsiaTheme="minorEastAsia" w:hAnsiTheme="minorHAnsi" w:cstheme="minorBidi"/>
          <w:b w:val="0"/>
          <w:bCs w:val="0"/>
          <w:noProof/>
          <w:sz w:val="22"/>
          <w:szCs w:val="22"/>
        </w:rPr>
      </w:pPr>
      <w:r>
        <w:rPr>
          <w:b w:val="0"/>
          <w:bCs w:val="0"/>
          <w:iCs w:val="0"/>
        </w:rPr>
        <w:fldChar w:fldCharType="end"/>
      </w:r>
      <w:r>
        <w:rPr>
          <w:b w:val="0"/>
          <w:bCs w:val="0"/>
          <w:iCs w:val="0"/>
        </w:rPr>
        <w:fldChar w:fldCharType="begin"/>
      </w:r>
      <w:r>
        <w:rPr>
          <w:b w:val="0"/>
          <w:bCs w:val="0"/>
          <w:iCs w:val="0"/>
        </w:rPr>
        <w:instrText xml:space="preserve"> TOA \h \c "3" \p \d "-" \g "–" \l ", " </w:instrText>
      </w:r>
      <w:r>
        <w:rPr>
          <w:b w:val="0"/>
          <w:bCs w:val="0"/>
          <w:iCs w:val="0"/>
        </w:rPr>
        <w:fldChar w:fldCharType="separate"/>
      </w:r>
      <w:r>
        <w:rPr>
          <w:noProof/>
        </w:rPr>
        <w:t>Rules</w:t>
      </w:r>
    </w:p>
    <w:p w14:paraId="5420B47A" w14:textId="77777777" w:rsidR="00890947" w:rsidRDefault="00890947" w:rsidP="00890947">
      <w:pPr>
        <w:pStyle w:val="TableofAuthorities"/>
        <w:tabs>
          <w:tab w:val="right" w:leader="dot" w:pos="9350"/>
        </w:tabs>
        <w:rPr>
          <w:noProof/>
        </w:rPr>
      </w:pPr>
      <w:r w:rsidRPr="00102DB5">
        <w:rPr>
          <w:noProof/>
          <w:color w:val="000000"/>
        </w:rPr>
        <w:t>Fed. R. Civ. P. 8(a)(3)</w:t>
      </w:r>
      <w:r>
        <w:rPr>
          <w:noProof/>
        </w:rPr>
        <w:tab/>
        <w:t>28</w:t>
      </w:r>
    </w:p>
    <w:p w14:paraId="7A318060" w14:textId="3457CE18" w:rsidR="00BF041A" w:rsidRDefault="00BF041A">
      <w:pPr>
        <w:pStyle w:val="TableofAuthorities"/>
        <w:tabs>
          <w:tab w:val="right" w:leader="dot" w:pos="9350"/>
        </w:tabs>
        <w:rPr>
          <w:noProof/>
        </w:rPr>
      </w:pPr>
      <w:r w:rsidRPr="00102DB5">
        <w:rPr>
          <w:noProof/>
          <w:color w:val="000000"/>
        </w:rPr>
        <w:t>Fed. R. Civ. P. 54(b)</w:t>
      </w:r>
      <w:r>
        <w:rPr>
          <w:noProof/>
        </w:rPr>
        <w:tab/>
        <w:t>21</w:t>
      </w:r>
    </w:p>
    <w:p w14:paraId="049DFD09" w14:textId="3F836D6C" w:rsidR="00BF041A" w:rsidRDefault="00BF041A" w:rsidP="00BF041A">
      <w:pPr>
        <w:pStyle w:val="TOAHeading"/>
        <w:tabs>
          <w:tab w:val="right" w:leader="dot" w:pos="9350"/>
        </w:tabs>
        <w:jc w:val="center"/>
        <w:rPr>
          <w:rFonts w:asciiTheme="minorHAnsi" w:eastAsiaTheme="minorEastAsia" w:hAnsiTheme="minorHAnsi" w:cstheme="minorBidi"/>
          <w:b w:val="0"/>
          <w:bCs w:val="0"/>
          <w:noProof/>
          <w:sz w:val="22"/>
          <w:szCs w:val="22"/>
        </w:rPr>
      </w:pPr>
      <w:r>
        <w:rPr>
          <w:b w:val="0"/>
          <w:bCs w:val="0"/>
          <w:iCs w:val="0"/>
        </w:rPr>
        <w:lastRenderedPageBreak/>
        <w:fldChar w:fldCharType="end"/>
      </w:r>
      <w:r>
        <w:rPr>
          <w:b w:val="0"/>
          <w:bCs w:val="0"/>
          <w:iCs w:val="0"/>
        </w:rPr>
        <w:fldChar w:fldCharType="begin"/>
      </w:r>
      <w:r>
        <w:rPr>
          <w:b w:val="0"/>
          <w:bCs w:val="0"/>
          <w:iCs w:val="0"/>
        </w:rPr>
        <w:instrText xml:space="preserve"> TOA \h \c "4" \p \d "-" \g "–" \l ", " </w:instrText>
      </w:r>
      <w:r>
        <w:rPr>
          <w:b w:val="0"/>
          <w:bCs w:val="0"/>
          <w:iCs w:val="0"/>
        </w:rPr>
        <w:fldChar w:fldCharType="separate"/>
      </w:r>
      <w:r>
        <w:rPr>
          <w:noProof/>
        </w:rPr>
        <w:t>Regulations</w:t>
      </w:r>
    </w:p>
    <w:p w14:paraId="35B575BF" w14:textId="77777777" w:rsidR="00BF041A" w:rsidRDefault="00BF041A" w:rsidP="00BF041A">
      <w:pPr>
        <w:pStyle w:val="TableofAuthorities"/>
        <w:tabs>
          <w:tab w:val="right" w:leader="dot" w:pos="9350"/>
        </w:tabs>
        <w:rPr>
          <w:noProof/>
        </w:rPr>
      </w:pPr>
      <w:r w:rsidRPr="00496DCD">
        <w:rPr>
          <w:noProof/>
          <w:color w:val="000000"/>
        </w:rPr>
        <w:t>28 C.F.R. Pt. 36</w:t>
      </w:r>
      <w:r>
        <w:rPr>
          <w:noProof/>
        </w:rPr>
        <w:tab/>
        <w:t>6</w:t>
      </w:r>
    </w:p>
    <w:p w14:paraId="3C00E3C3" w14:textId="77777777" w:rsidR="00BF041A" w:rsidRDefault="00BF041A">
      <w:pPr>
        <w:pStyle w:val="TableofAuthorities"/>
        <w:tabs>
          <w:tab w:val="right" w:leader="dot" w:pos="9350"/>
        </w:tabs>
        <w:rPr>
          <w:noProof/>
        </w:rPr>
      </w:pPr>
      <w:r w:rsidRPr="00496DCD">
        <w:rPr>
          <w:noProof/>
          <w:color w:val="000000"/>
        </w:rPr>
        <w:t>28 C.F.R. § 35.130(g)</w:t>
      </w:r>
      <w:r>
        <w:rPr>
          <w:noProof/>
        </w:rPr>
        <w:tab/>
        <w:t>25</w:t>
      </w:r>
    </w:p>
    <w:p w14:paraId="559ABA94" w14:textId="73519ABC" w:rsidR="00155FB8" w:rsidRDefault="00155FB8" w:rsidP="00155FB8">
      <w:pPr>
        <w:pStyle w:val="TableofAuthorities"/>
        <w:tabs>
          <w:tab w:val="right" w:leader="dot" w:pos="9350"/>
        </w:tabs>
        <w:rPr>
          <w:noProof/>
        </w:rPr>
      </w:pPr>
      <w:r w:rsidRPr="00496DCD">
        <w:rPr>
          <w:noProof/>
          <w:color w:val="000000"/>
        </w:rPr>
        <w:t>28 C.F.R. § 36.</w:t>
      </w:r>
      <w:r>
        <w:rPr>
          <w:noProof/>
          <w:color w:val="000000"/>
        </w:rPr>
        <w:t>104</w:t>
      </w:r>
      <w:r>
        <w:rPr>
          <w:noProof/>
        </w:rPr>
        <w:tab/>
        <w:t>5</w:t>
      </w:r>
    </w:p>
    <w:p w14:paraId="02E3846E" w14:textId="183F1AF4" w:rsidR="00890947" w:rsidRDefault="00890947" w:rsidP="00890947">
      <w:pPr>
        <w:pStyle w:val="TableofAuthorities"/>
        <w:tabs>
          <w:tab w:val="right" w:leader="dot" w:pos="9350"/>
        </w:tabs>
        <w:rPr>
          <w:noProof/>
        </w:rPr>
      </w:pPr>
      <w:r w:rsidRPr="00496DCD">
        <w:rPr>
          <w:noProof/>
          <w:color w:val="000000"/>
        </w:rPr>
        <w:t>2</w:t>
      </w:r>
      <w:r>
        <w:rPr>
          <w:noProof/>
          <w:color w:val="000000"/>
        </w:rPr>
        <w:t>8 C.F.R. § 36.204</w:t>
      </w:r>
      <w:r>
        <w:rPr>
          <w:noProof/>
        </w:rPr>
        <w:tab/>
        <w:t>6</w:t>
      </w:r>
    </w:p>
    <w:p w14:paraId="5A813D14" w14:textId="4A4DE803" w:rsidR="00BF041A" w:rsidRDefault="00BF041A">
      <w:pPr>
        <w:pStyle w:val="TableofAuthorities"/>
        <w:tabs>
          <w:tab w:val="right" w:leader="dot" w:pos="9350"/>
        </w:tabs>
        <w:rPr>
          <w:noProof/>
        </w:rPr>
      </w:pPr>
      <w:r w:rsidRPr="00496DCD">
        <w:rPr>
          <w:noProof/>
          <w:color w:val="000000"/>
        </w:rPr>
        <w:t>28 C.F.R. § 36.205</w:t>
      </w:r>
      <w:r>
        <w:rPr>
          <w:noProof/>
        </w:rPr>
        <w:tab/>
        <w:t>24</w:t>
      </w:r>
    </w:p>
    <w:p w14:paraId="2238570C" w14:textId="5AF0E680" w:rsidR="00890947" w:rsidRDefault="00890947" w:rsidP="00890947">
      <w:pPr>
        <w:pStyle w:val="TableofAuthorities"/>
        <w:tabs>
          <w:tab w:val="right" w:leader="dot" w:pos="9350"/>
        </w:tabs>
        <w:rPr>
          <w:noProof/>
        </w:rPr>
      </w:pPr>
      <w:r>
        <w:rPr>
          <w:noProof/>
          <w:color w:val="000000"/>
        </w:rPr>
        <w:t>28 C.F.R. § 36.301</w:t>
      </w:r>
      <w:r w:rsidRPr="00496DCD">
        <w:rPr>
          <w:noProof/>
          <w:color w:val="000000"/>
        </w:rPr>
        <w:t>(a)</w:t>
      </w:r>
      <w:r>
        <w:rPr>
          <w:noProof/>
        </w:rPr>
        <w:tab/>
        <w:t>6</w:t>
      </w:r>
    </w:p>
    <w:p w14:paraId="2B110FAB" w14:textId="0657DC20" w:rsidR="00BF041A" w:rsidRDefault="00BF041A">
      <w:pPr>
        <w:pStyle w:val="TableofAuthorities"/>
        <w:tabs>
          <w:tab w:val="right" w:leader="dot" w:pos="9350"/>
        </w:tabs>
        <w:rPr>
          <w:noProof/>
        </w:rPr>
      </w:pPr>
      <w:r w:rsidRPr="00496DCD">
        <w:rPr>
          <w:noProof/>
          <w:color w:val="000000"/>
        </w:rPr>
        <w:t>28 C.F.R. § 36.302(a)</w:t>
      </w:r>
      <w:r>
        <w:rPr>
          <w:noProof/>
        </w:rPr>
        <w:tab/>
        <w:t>6</w:t>
      </w:r>
    </w:p>
    <w:p w14:paraId="11D27530" w14:textId="145A0783" w:rsidR="000C1135" w:rsidRPr="00890947" w:rsidRDefault="00BF041A" w:rsidP="00890947">
      <w:pPr>
        <w:pStyle w:val="TOAHeading"/>
        <w:tabs>
          <w:tab w:val="right" w:leader="dot" w:pos="9350"/>
        </w:tabs>
        <w:rPr>
          <w:b w:val="0"/>
          <w:bCs w:val="0"/>
          <w:iCs w:val="0"/>
        </w:rPr>
      </w:pPr>
      <w:r>
        <w:rPr>
          <w:b w:val="0"/>
          <w:bCs w:val="0"/>
          <w:iCs w:val="0"/>
        </w:rPr>
        <w:fldChar w:fldCharType="end"/>
      </w:r>
      <w:bookmarkEnd w:id="8"/>
    </w:p>
    <w:p w14:paraId="51E666A9" w14:textId="29A505CC" w:rsidR="00DC78D8" w:rsidRDefault="00DC78D8">
      <w:pPr>
        <w:spacing w:after="200" w:line="276" w:lineRule="auto"/>
      </w:pPr>
    </w:p>
    <w:p w14:paraId="3ADC29FE" w14:textId="5AD244CB" w:rsidR="002C77A8" w:rsidRDefault="002C77A8">
      <w:pPr>
        <w:spacing w:after="200" w:line="276" w:lineRule="auto"/>
      </w:pPr>
    </w:p>
    <w:p w14:paraId="4FA60666" w14:textId="20DEC5B2" w:rsidR="002C77A8" w:rsidRDefault="002C77A8">
      <w:pPr>
        <w:spacing w:after="200" w:line="276" w:lineRule="auto"/>
      </w:pPr>
    </w:p>
    <w:p w14:paraId="1D52F590" w14:textId="10C8A1B6" w:rsidR="002C77A8" w:rsidRDefault="002C77A8">
      <w:pPr>
        <w:spacing w:after="200" w:line="276" w:lineRule="auto"/>
      </w:pPr>
    </w:p>
    <w:p w14:paraId="7BF06B0D" w14:textId="69B5C9E2" w:rsidR="002C77A8" w:rsidRDefault="002C77A8">
      <w:pPr>
        <w:spacing w:after="200" w:line="276" w:lineRule="auto"/>
      </w:pPr>
    </w:p>
    <w:p w14:paraId="7E0ED3A4" w14:textId="0F8759F4" w:rsidR="002C77A8" w:rsidRDefault="002C77A8">
      <w:pPr>
        <w:spacing w:after="200" w:line="276" w:lineRule="auto"/>
      </w:pPr>
    </w:p>
    <w:p w14:paraId="5692B07E" w14:textId="77777777" w:rsidR="002C77A8" w:rsidRPr="001A1FD3" w:rsidRDefault="002C77A8">
      <w:pPr>
        <w:spacing w:after="200" w:line="276" w:lineRule="auto"/>
        <w:sectPr w:rsidR="002C77A8" w:rsidRPr="001A1FD3" w:rsidSect="002C77A8">
          <w:pgSz w:w="12240" w:h="15840"/>
          <w:pgMar w:top="1440" w:right="1440" w:bottom="1440" w:left="1440" w:header="720" w:footer="720" w:gutter="0"/>
          <w:pgNumType w:fmt="lowerRoman" w:start="1"/>
          <w:cols w:space="720"/>
          <w:docGrid w:linePitch="360"/>
        </w:sectPr>
      </w:pPr>
    </w:p>
    <w:p w14:paraId="0EFD5264" w14:textId="77777777" w:rsidR="000C1135" w:rsidRPr="001A1FD3" w:rsidRDefault="000C1135" w:rsidP="00E93551">
      <w:pPr>
        <w:pStyle w:val="Heading1"/>
        <w:rPr>
          <w:b/>
          <w:szCs w:val="24"/>
        </w:rPr>
      </w:pPr>
      <w:bookmarkStart w:id="9" w:name="_Toc462302838"/>
      <w:bookmarkStart w:id="10" w:name="_Toc481414267"/>
      <w:r w:rsidRPr="001A1FD3">
        <w:rPr>
          <w:b/>
          <w:szCs w:val="24"/>
        </w:rPr>
        <w:lastRenderedPageBreak/>
        <w:t>PRELIMINARY STATEMENT</w:t>
      </w:r>
      <w:bookmarkEnd w:id="9"/>
      <w:bookmarkEnd w:id="10"/>
      <w:r w:rsidRPr="001A1FD3">
        <w:rPr>
          <w:b/>
          <w:szCs w:val="24"/>
        </w:rPr>
        <w:t xml:space="preserve"> </w:t>
      </w:r>
    </w:p>
    <w:p w14:paraId="274E7682" w14:textId="4655372D" w:rsidR="004428DF" w:rsidRPr="001A1FD3" w:rsidRDefault="008627FD" w:rsidP="004428DF">
      <w:pPr>
        <w:spacing w:line="480" w:lineRule="auto"/>
        <w:ind w:firstLine="720"/>
      </w:pPr>
      <w:r w:rsidRPr="001A1FD3">
        <w:t xml:space="preserve">M.M. </w:t>
      </w:r>
      <w:r w:rsidR="00EC055C">
        <w:t xml:space="preserve">was </w:t>
      </w:r>
      <w:r w:rsidR="00F20A8B">
        <w:t xml:space="preserve">a </w:t>
      </w:r>
      <w:r w:rsidR="00EC055C">
        <w:t>three-year-old child with Down syndrome when</w:t>
      </w:r>
      <w:r w:rsidRPr="001A1FD3">
        <w:t xml:space="preserve"> Chesterbrook Academy—a private daycare provider owned and operated by </w:t>
      </w:r>
      <w:r w:rsidR="00681D92" w:rsidRPr="001A1FD3">
        <w:t xml:space="preserve">Defendant </w:t>
      </w:r>
      <w:r w:rsidRPr="001A1FD3">
        <w:t xml:space="preserve">Nobel Learning Communities (“NLC”)—expelled </w:t>
      </w:r>
      <w:r w:rsidR="00EC055C">
        <w:t>her</w:t>
      </w:r>
      <w:r w:rsidRPr="001A1FD3">
        <w:t xml:space="preserve"> from its daycare program because she was not toilet-trained by an arbitrary deadline set by an NLC administrator.</w:t>
      </w:r>
      <w:r w:rsidR="00D24D8B" w:rsidRPr="001A1FD3">
        <w:t xml:space="preserve"> NLC </w:t>
      </w:r>
      <w:r w:rsidR="001A4F4E">
        <w:t xml:space="preserve">knew </w:t>
      </w:r>
      <w:r w:rsidR="00EC055C">
        <w:t xml:space="preserve">that </w:t>
      </w:r>
      <w:r w:rsidRPr="001A1FD3">
        <w:t xml:space="preserve">M.M.’s </w:t>
      </w:r>
      <w:r w:rsidR="002B0106" w:rsidRPr="001A1FD3">
        <w:t>disability</w:t>
      </w:r>
      <w:r w:rsidR="004428DF" w:rsidRPr="001A1FD3">
        <w:t xml:space="preserve"> is associated with a range of </w:t>
      </w:r>
      <w:r w:rsidRPr="001A1FD3">
        <w:t xml:space="preserve">developmental delays, including delays in toilet-training. </w:t>
      </w:r>
      <w:r w:rsidR="00F739BA">
        <w:t>NLC</w:t>
      </w:r>
      <w:r w:rsidR="00EC055C">
        <w:t xml:space="preserve">’s refusal </w:t>
      </w:r>
      <w:r w:rsidR="00F739BA">
        <w:t>to make any accommodation for M.M.</w:t>
      </w:r>
      <w:r w:rsidR="00EC055C">
        <w:t xml:space="preserve"> denied</w:t>
      </w:r>
      <w:r w:rsidR="00F739BA">
        <w:t xml:space="preserve"> her and her parents equal access to its child care services. </w:t>
      </w:r>
      <w:r w:rsidR="004428DF" w:rsidRPr="001A1FD3">
        <w:t xml:space="preserve">Because this discriminatory conduct raises issues of general public importance, the Attorney General commenced this action on behalf of the United States to enforce the </w:t>
      </w:r>
      <w:r w:rsidRPr="001A1FD3">
        <w:t>Americans with Disabilities Act (“ADA”)</w:t>
      </w:r>
      <w:r w:rsidR="004428DF" w:rsidRPr="001A1FD3">
        <w:t>.</w:t>
      </w:r>
      <w:r w:rsidR="00681D92" w:rsidRPr="001A1FD3">
        <w:t xml:space="preserve"> </w:t>
      </w:r>
    </w:p>
    <w:p w14:paraId="08252B34" w14:textId="18CE983E" w:rsidR="00B57CB0" w:rsidRPr="001A1FD3" w:rsidRDefault="008627FD" w:rsidP="00B57CB0">
      <w:pPr>
        <w:spacing w:line="480" w:lineRule="auto"/>
        <w:ind w:firstLine="720"/>
      </w:pPr>
      <w:r w:rsidRPr="001A1FD3">
        <w:t xml:space="preserve">NLC </w:t>
      </w:r>
      <w:r w:rsidR="00EC055C">
        <w:t xml:space="preserve">seeks to stay this action </w:t>
      </w:r>
      <w:r w:rsidRPr="001A1FD3">
        <w:t>because the State of New Jersey is also prosecuting NLC under the New Je</w:t>
      </w:r>
      <w:r w:rsidR="00B57CB0" w:rsidRPr="001A1FD3">
        <w:t>rsey Law Against Discrimination</w:t>
      </w:r>
      <w:r w:rsidR="00681D92" w:rsidRPr="001A1FD3">
        <w:t xml:space="preserve">. </w:t>
      </w:r>
      <w:r w:rsidR="00B57CB0" w:rsidRPr="001A1FD3">
        <w:t xml:space="preserve">NLC </w:t>
      </w:r>
      <w:r w:rsidR="00FF75B9">
        <w:t xml:space="preserve">raises two theories for a </w:t>
      </w:r>
      <w:r w:rsidR="00B57CB0" w:rsidRPr="001A1FD3">
        <w:t xml:space="preserve">stay, neither of which </w:t>
      </w:r>
      <w:r w:rsidR="00F739BA">
        <w:t>applies here</w:t>
      </w:r>
      <w:r w:rsidR="00B57CB0" w:rsidRPr="001A1FD3">
        <w:t xml:space="preserve">. First, NLC asks this Court to abstain from exercising its jurisdiction under the </w:t>
      </w:r>
      <w:r w:rsidR="00B57CB0" w:rsidRPr="001A1FD3">
        <w:rPr>
          <w:i/>
        </w:rPr>
        <w:t>Colorado River</w:t>
      </w:r>
      <w:r w:rsidR="00B57CB0" w:rsidRPr="001A1FD3">
        <w:t xml:space="preserve"> Doctrine. That doctrine, however, </w:t>
      </w:r>
      <w:r w:rsidR="00B57CB0" w:rsidRPr="001A1FD3">
        <w:lastRenderedPageBreak/>
        <w:t xml:space="preserve">applies </w:t>
      </w:r>
      <w:r w:rsidR="009E7ACC" w:rsidRPr="001A1FD3">
        <w:t xml:space="preserve">only </w:t>
      </w:r>
      <w:r w:rsidR="00B57CB0" w:rsidRPr="001A1FD3">
        <w:t xml:space="preserve">in circumstances where there is a parallel </w:t>
      </w:r>
      <w:r w:rsidR="009E7ACC" w:rsidRPr="001A1FD3">
        <w:t xml:space="preserve">state </w:t>
      </w:r>
      <w:r w:rsidR="00B57CB0" w:rsidRPr="001A1FD3">
        <w:t xml:space="preserve">proceeding involving the same </w:t>
      </w:r>
      <w:r w:rsidR="004428DF" w:rsidRPr="001A1FD3">
        <w:t xml:space="preserve">parties </w:t>
      </w:r>
      <w:r w:rsidR="009E7ACC" w:rsidRPr="001A1FD3">
        <w:t xml:space="preserve">and where the </w:t>
      </w:r>
      <w:r w:rsidR="00B57CB0" w:rsidRPr="001A1FD3">
        <w:t>state proceeding will completely and finally resolve all of the issues between the parties</w:t>
      </w:r>
      <w:r w:rsidR="00EC055C">
        <w:t>,</w:t>
      </w:r>
      <w:r w:rsidR="00B57CB0" w:rsidRPr="001A1FD3">
        <w:t xml:space="preserve"> </w:t>
      </w:r>
      <w:r w:rsidR="00EC055C">
        <w:t xml:space="preserve">as well as the existence of </w:t>
      </w:r>
      <w:r w:rsidR="00B57CB0" w:rsidRPr="001A1FD3">
        <w:t xml:space="preserve">additional extraordinary circumstances. The state court proceeding satisfies none of those criteria because, </w:t>
      </w:r>
      <w:r w:rsidR="00B57CB0" w:rsidRPr="001A1FD3">
        <w:rPr>
          <w:i/>
        </w:rPr>
        <w:t>inter alia</w:t>
      </w:r>
      <w:r w:rsidR="00B57CB0" w:rsidRPr="001A1FD3">
        <w:t xml:space="preserve">, the United States is not a party to </w:t>
      </w:r>
      <w:r w:rsidR="004428DF" w:rsidRPr="001A1FD3">
        <w:t>that proceeding</w:t>
      </w:r>
      <w:r w:rsidR="00B57CB0" w:rsidRPr="001A1FD3">
        <w:t xml:space="preserve"> and relevant aspects of the ADA will not be considered. Further, NLC litigating two matter</w:t>
      </w:r>
      <w:r w:rsidR="008B43FF" w:rsidRPr="001A1FD3">
        <w:t>s</w:t>
      </w:r>
      <w:r w:rsidR="00B57CB0" w:rsidRPr="001A1FD3">
        <w:t xml:space="preserve"> simultaneously does not qualify as </w:t>
      </w:r>
      <w:r w:rsidR="009E7ACC" w:rsidRPr="001A1FD3">
        <w:t xml:space="preserve">an </w:t>
      </w:r>
      <w:r w:rsidR="00B57CB0" w:rsidRPr="001A1FD3">
        <w:t>extraordinary circumstance</w:t>
      </w:r>
      <w:r w:rsidR="009E7ACC" w:rsidRPr="001A1FD3">
        <w:t xml:space="preserve"> meriting abstention</w:t>
      </w:r>
      <w:r w:rsidR="00B57CB0" w:rsidRPr="001A1FD3">
        <w:t>.</w:t>
      </w:r>
    </w:p>
    <w:p w14:paraId="14F7126E" w14:textId="6044E508" w:rsidR="00B57CB0" w:rsidRPr="001A1FD3" w:rsidRDefault="00B57CB0" w:rsidP="00B57CB0">
      <w:pPr>
        <w:spacing w:line="480" w:lineRule="auto"/>
        <w:ind w:firstLine="720"/>
      </w:pPr>
      <w:r w:rsidRPr="001A1FD3">
        <w:t>Next, NLC asks to needlessly delay these proceedings by appealing to the Court’s inherent powers</w:t>
      </w:r>
      <w:r w:rsidR="008B2EE4">
        <w:t xml:space="preserve"> to stay this action</w:t>
      </w:r>
      <w:r w:rsidRPr="001A1FD3">
        <w:t xml:space="preserve">. That </w:t>
      </w:r>
      <w:r w:rsidR="009E7ACC" w:rsidRPr="001A1FD3">
        <w:t xml:space="preserve">delay would serve no legitimate purpose, and would </w:t>
      </w:r>
      <w:r w:rsidRPr="001A1FD3">
        <w:t xml:space="preserve">only serve to prejudice </w:t>
      </w:r>
      <w:r w:rsidR="00EC055C">
        <w:t xml:space="preserve">the United States’ access to </w:t>
      </w:r>
      <w:r w:rsidRPr="001A1FD3">
        <w:t>discovery.</w:t>
      </w:r>
    </w:p>
    <w:p w14:paraId="658AC3B3" w14:textId="2EDA7A88" w:rsidR="00570EBE" w:rsidRPr="001A1FD3" w:rsidRDefault="00570EBE" w:rsidP="00AE7B11">
      <w:pPr>
        <w:spacing w:line="480" w:lineRule="auto"/>
        <w:ind w:firstLine="720"/>
      </w:pPr>
      <w:r w:rsidRPr="001A1FD3">
        <w:t xml:space="preserve">NLC </w:t>
      </w:r>
      <w:r w:rsidR="00EC055C">
        <w:t xml:space="preserve">also </w:t>
      </w:r>
      <w:r w:rsidRPr="001A1FD3">
        <w:t>argues that the United States should be collater</w:t>
      </w:r>
      <w:r w:rsidR="004428DF" w:rsidRPr="001A1FD3">
        <w:t xml:space="preserve">ally estopped from pursuing an </w:t>
      </w:r>
      <w:r w:rsidRPr="001A1FD3">
        <w:t>associational discriminat</w:t>
      </w:r>
      <w:r w:rsidR="004428DF" w:rsidRPr="001A1FD3">
        <w:t>ion</w:t>
      </w:r>
      <w:r w:rsidRPr="001A1FD3">
        <w:t xml:space="preserve"> claim based on </w:t>
      </w:r>
      <w:r w:rsidR="004428DF" w:rsidRPr="001A1FD3">
        <w:t xml:space="preserve">NLC’s discrimination against </w:t>
      </w:r>
      <w:r w:rsidRPr="001A1FD3">
        <w:t xml:space="preserve">M.M.’s parents. NLC points to a 2009 lawsuit brought by </w:t>
      </w:r>
      <w:r w:rsidRPr="001A1FD3">
        <w:lastRenderedPageBreak/>
        <w:t xml:space="preserve">the United States in </w:t>
      </w:r>
      <w:r w:rsidR="004428DF" w:rsidRPr="001A1FD3">
        <w:t xml:space="preserve">a different District Court, in which </w:t>
      </w:r>
      <w:r w:rsidR="00F739BA">
        <w:t>the</w:t>
      </w:r>
      <w:r w:rsidR="004428DF" w:rsidRPr="001A1FD3">
        <w:t xml:space="preserve"> c</w:t>
      </w:r>
      <w:r w:rsidRPr="001A1FD3">
        <w:t xml:space="preserve">ourt </w:t>
      </w:r>
      <w:r w:rsidR="00F739BA">
        <w:t xml:space="preserve">(in ruling on a partial motion to dismiss) </w:t>
      </w:r>
      <w:r w:rsidRPr="001A1FD3">
        <w:t xml:space="preserve">held that harm suffered by parents in similar circumstances was merely “indirect” and, therefore, not actionable. </w:t>
      </w:r>
      <w:r w:rsidR="00F739BA">
        <w:t>NLC’s</w:t>
      </w:r>
      <w:r w:rsidR="001707BB">
        <w:t xml:space="preserve"> argument fails for two reasons. </w:t>
      </w:r>
      <w:r w:rsidR="001707BB" w:rsidRPr="001707BB">
        <w:t>First</w:t>
      </w:r>
      <w:r w:rsidR="001707BB">
        <w:t xml:space="preserve">, because the parties settled the 2009 lawsuit, the Court must consider the terms of that agreement in evaluating NLC’s collateral estoppel argument. The terms of that settlement agreement are fatal to NLC’s collateral estoppel argument: NLC agreed that the United States would be free to bring ADA enforcement actions—under any provision of the ADA—against NLC. </w:t>
      </w:r>
      <w:r w:rsidR="00AE7B11">
        <w:t xml:space="preserve">Second, putting aside the plain language of the settlement agreement, the rulings in the 2009 lawsuit on this issue do not have preclusive effect because they are not, in Third Circuit parlance, </w:t>
      </w:r>
      <w:r w:rsidR="00F739BA">
        <w:t>“sufficiently firm</w:t>
      </w:r>
      <w:r w:rsidR="00AE7B11">
        <w:t xml:space="preserve"> to be accorded conclusive effect.</w:t>
      </w:r>
      <w:r w:rsidR="00F739BA">
        <w:t>”</w:t>
      </w:r>
      <w:r w:rsidRPr="001A1FD3">
        <w:t xml:space="preserve">  </w:t>
      </w:r>
    </w:p>
    <w:p w14:paraId="17829DA5" w14:textId="284DB7E8" w:rsidR="00F739BA" w:rsidRDefault="00F739BA" w:rsidP="00F739BA">
      <w:pPr>
        <w:spacing w:line="480" w:lineRule="auto"/>
        <w:ind w:firstLine="720"/>
      </w:pPr>
      <w:r>
        <w:t xml:space="preserve">Moreover, the Complaint states a claim for </w:t>
      </w:r>
      <w:r w:rsidR="00570EBE" w:rsidRPr="001A1FD3">
        <w:t>associational discrimination.</w:t>
      </w:r>
      <w:r>
        <w:t xml:space="preserve"> M.M.’s parents have a “relationship” to an “individual with a disability,” and when NLC expelled M.M.</w:t>
      </w:r>
      <w:r w:rsidR="00814588">
        <w:t xml:space="preserve"> because of her disability</w:t>
      </w:r>
      <w:r>
        <w:t xml:space="preserve">, NLC denied </w:t>
      </w:r>
      <w:r w:rsidR="001A4F4E">
        <w:t>her</w:t>
      </w:r>
      <w:r>
        <w:t xml:space="preserve"> par</w:t>
      </w:r>
      <w:r>
        <w:lastRenderedPageBreak/>
        <w:t xml:space="preserve">ents equal access to its child care services. That falls squarely within the scope of the ADA’s associational discrimination provision. </w:t>
      </w:r>
      <w:bookmarkStart w:id="11" w:name="dabmci_2c343c04c17d4b39827170d14e44d8f1"/>
      <w:r w:rsidR="00BF041A">
        <w:fldChar w:fldCharType="begin"/>
      </w:r>
      <w:r w:rsidR="00BF041A" w:rsidRPr="00BF041A">
        <w:instrText xml:space="preserve"> TA \l "</w:instrText>
      </w:r>
      <w:r w:rsidR="00BF041A" w:rsidRPr="00BF041A">
        <w:rPr>
          <w:color w:val="000000"/>
        </w:rPr>
        <w:instrText>42 U.S.C. § 12182(b)(1)(E)</w:instrText>
      </w:r>
      <w:r w:rsidR="00BF041A" w:rsidRPr="00BF041A">
        <w:instrText xml:space="preserve">" \s "dabmci_2c343c04c17d4b39827170d14e44d8f1_4" \c 2 </w:instrText>
      </w:r>
      <w:r w:rsidR="00BF041A">
        <w:fldChar w:fldCharType="end"/>
      </w:r>
      <w:r>
        <w:t>42 U.S.C. § 12182(b)(1)(E)</w:t>
      </w:r>
      <w:bookmarkEnd w:id="11"/>
      <w:r>
        <w:t>. NLC’s argument that the harm suffered by M.M.’s parents is too attenuated to be actionable ignores the United States’ allegations in the Complaint and misconstrues § 121</w:t>
      </w:r>
      <w:r w:rsidR="00F20A8B">
        <w:t>8</w:t>
      </w:r>
      <w:r>
        <w:t xml:space="preserve">2(b)(1)(E). </w:t>
      </w:r>
    </w:p>
    <w:p w14:paraId="08E680D6" w14:textId="5CDA26DB" w:rsidR="000C1135" w:rsidRPr="001A1FD3" w:rsidRDefault="00570EBE" w:rsidP="008B2EE4">
      <w:pPr>
        <w:spacing w:line="480" w:lineRule="auto"/>
        <w:ind w:firstLine="720"/>
      </w:pPr>
      <w:r w:rsidRPr="001A1FD3">
        <w:t xml:space="preserve">Lastly, </w:t>
      </w:r>
      <w:r w:rsidR="00EC055C">
        <w:t>the</w:t>
      </w:r>
      <w:r w:rsidR="008B2EE4">
        <w:t xml:space="preserve"> ADA clearly authorizes the Attorney General to seek, and this Court to award, the </w:t>
      </w:r>
      <w:r w:rsidR="008627FD" w:rsidRPr="001A1FD3">
        <w:t>equitable relief</w:t>
      </w:r>
      <w:r w:rsidR="008B2EE4">
        <w:t xml:space="preserve"> sought in the Complaint</w:t>
      </w:r>
      <w:r w:rsidR="009E7ACC" w:rsidRPr="001A1FD3">
        <w:t>.</w:t>
      </w:r>
      <w:r w:rsidR="008627FD" w:rsidRPr="001A1FD3">
        <w:t xml:space="preserve"> </w:t>
      </w:r>
      <w:r w:rsidR="008B2EE4" w:rsidRPr="001A1FD3">
        <w:t xml:space="preserve">42 U.S.C. </w:t>
      </w:r>
      <w:r w:rsidR="002D1E2E">
        <w:br/>
      </w:r>
      <w:r w:rsidR="008B2EE4" w:rsidRPr="001A1FD3">
        <w:t>§ 12188(b)(2)</w:t>
      </w:r>
      <w:r w:rsidR="008B2EE4">
        <w:t xml:space="preserve"> (authorizing district courts to </w:t>
      </w:r>
      <w:r w:rsidR="008627FD" w:rsidRPr="001A1FD3">
        <w:t>grant “</w:t>
      </w:r>
      <w:r w:rsidR="008627FD" w:rsidRPr="008B2EE4">
        <w:t>any equitable relief</w:t>
      </w:r>
      <w:r w:rsidR="008C1F89" w:rsidRPr="008B2EE4">
        <w:t xml:space="preserve"> … considered to be appropriate</w:t>
      </w:r>
      <w:r w:rsidR="008627FD" w:rsidRPr="001A1FD3">
        <w:t>”</w:t>
      </w:r>
      <w:r w:rsidR="008B2EE4">
        <w:t>).</w:t>
      </w:r>
      <w:r w:rsidR="008627FD" w:rsidRPr="001A1FD3">
        <w:t xml:space="preserve"> And</w:t>
      </w:r>
      <w:r w:rsidR="008C1F89">
        <w:t xml:space="preserve"> the </w:t>
      </w:r>
      <w:r w:rsidR="008B2EE4">
        <w:t xml:space="preserve">United States’ </w:t>
      </w:r>
      <w:r w:rsidR="008C1F89">
        <w:t xml:space="preserve">demand for </w:t>
      </w:r>
      <w:r w:rsidR="008B2EE4">
        <w:t xml:space="preserve">equitable </w:t>
      </w:r>
      <w:r w:rsidR="008C1F89">
        <w:t xml:space="preserve">relief satisfies the </w:t>
      </w:r>
      <w:r w:rsidR="008627FD" w:rsidRPr="001A1FD3">
        <w:t xml:space="preserve">basic pleading requirements of the Federal Rules of Civil Procedure. </w:t>
      </w:r>
    </w:p>
    <w:p w14:paraId="0DE94692" w14:textId="77777777" w:rsidR="00E93551" w:rsidRPr="001A1FD3" w:rsidRDefault="00E93551" w:rsidP="00E93551">
      <w:pPr>
        <w:pStyle w:val="Heading1"/>
        <w:rPr>
          <w:b/>
          <w:szCs w:val="24"/>
        </w:rPr>
      </w:pPr>
      <w:bookmarkStart w:id="12" w:name="_Toc481414268"/>
      <w:r w:rsidRPr="001A1FD3">
        <w:rPr>
          <w:b/>
          <w:szCs w:val="24"/>
        </w:rPr>
        <w:lastRenderedPageBreak/>
        <w:t>BACKGROUND</w:t>
      </w:r>
      <w:bookmarkEnd w:id="12"/>
    </w:p>
    <w:p w14:paraId="494504B0" w14:textId="63CED678" w:rsidR="00E93551" w:rsidRPr="001A1FD3" w:rsidRDefault="00E93551" w:rsidP="00E93551">
      <w:pPr>
        <w:spacing w:line="480" w:lineRule="auto"/>
        <w:ind w:firstLine="720"/>
      </w:pPr>
      <w:r w:rsidRPr="001A1FD3">
        <w:t xml:space="preserve">NLC </w:t>
      </w:r>
      <w:r w:rsidR="007A3FAA" w:rsidRPr="001A1FD3">
        <w:t xml:space="preserve">owns and </w:t>
      </w:r>
      <w:r w:rsidRPr="001A1FD3">
        <w:t xml:space="preserve">operates a chain of private schools throughout the United States, including </w:t>
      </w:r>
      <w:r w:rsidR="007A3FAA" w:rsidRPr="001A1FD3">
        <w:t xml:space="preserve">Chesterbrook Academy and eight others </w:t>
      </w:r>
      <w:r w:rsidRPr="001A1FD3">
        <w:t xml:space="preserve">in New Jersey. </w:t>
      </w:r>
      <w:r w:rsidR="007A3FAA" w:rsidRPr="001A1FD3">
        <w:t>Complaint</w:t>
      </w:r>
      <w:r w:rsidR="00BA0E3A">
        <w:t xml:space="preserve"> </w:t>
      </w:r>
      <w:r w:rsidR="007A3FAA" w:rsidRPr="001A1FD3">
        <w:t>(“Compl.”)</w:t>
      </w:r>
      <w:r w:rsidRPr="001A1FD3">
        <w:t xml:space="preserve"> ¶ 7. Chesterbrook</w:t>
      </w:r>
      <w:r w:rsidR="007A3FAA" w:rsidRPr="001A1FD3">
        <w:t xml:space="preserve"> is located in Moorestown and </w:t>
      </w:r>
      <w:r w:rsidR="00BA0E3A">
        <w:t>offers five day</w:t>
      </w:r>
      <w:r w:rsidRPr="001A1FD3">
        <w:t xml:space="preserve">care programs: </w:t>
      </w:r>
      <w:r w:rsidR="008F29A3" w:rsidRPr="001A1FD3">
        <w:t>“</w:t>
      </w:r>
      <w:r w:rsidRPr="001A1FD3">
        <w:t>Infants,</w:t>
      </w:r>
      <w:r w:rsidR="008F29A3" w:rsidRPr="001A1FD3">
        <w:t>”</w:t>
      </w:r>
      <w:r w:rsidRPr="001A1FD3">
        <w:t xml:space="preserve"> </w:t>
      </w:r>
      <w:r w:rsidR="008F29A3" w:rsidRPr="001A1FD3">
        <w:t>“</w:t>
      </w:r>
      <w:r w:rsidRPr="001A1FD3">
        <w:t>Toddlers,</w:t>
      </w:r>
      <w:r w:rsidR="008F29A3" w:rsidRPr="001A1FD3">
        <w:t>”</w:t>
      </w:r>
      <w:r w:rsidRPr="001A1FD3">
        <w:t xml:space="preserve"> </w:t>
      </w:r>
      <w:r w:rsidR="008F29A3" w:rsidRPr="001A1FD3">
        <w:t>“</w:t>
      </w:r>
      <w:r w:rsidRPr="001A1FD3">
        <w:t>Beginners</w:t>
      </w:r>
      <w:r w:rsidR="008F29A3" w:rsidRPr="001A1FD3">
        <w:t>”</w:t>
      </w:r>
      <w:r w:rsidRPr="001A1FD3">
        <w:t xml:space="preserve"> (ages 2-3), </w:t>
      </w:r>
      <w:r w:rsidR="008F29A3" w:rsidRPr="001A1FD3">
        <w:t>“</w:t>
      </w:r>
      <w:r w:rsidRPr="001A1FD3">
        <w:t>Intermediates</w:t>
      </w:r>
      <w:r w:rsidR="008F29A3" w:rsidRPr="001A1FD3">
        <w:t>”</w:t>
      </w:r>
      <w:r w:rsidRPr="001A1FD3">
        <w:t xml:space="preserve"> (ages 3-4), and </w:t>
      </w:r>
      <w:r w:rsidR="008F29A3" w:rsidRPr="001A1FD3">
        <w:t>“</w:t>
      </w:r>
      <w:r w:rsidRPr="001A1FD3">
        <w:t>Pre-K.</w:t>
      </w:r>
      <w:r w:rsidR="008F29A3" w:rsidRPr="001A1FD3">
        <w:t>”</w:t>
      </w:r>
      <w:r w:rsidRPr="001A1FD3">
        <w:t xml:space="preserve"> </w:t>
      </w:r>
      <w:r w:rsidRPr="001A1FD3">
        <w:rPr>
          <w:i/>
        </w:rPr>
        <w:t>Id.</w:t>
      </w:r>
      <w:r w:rsidR="007A3FAA" w:rsidRPr="001A1FD3">
        <w:t xml:space="preserve"> ¶ 9.</w:t>
      </w:r>
      <w:r w:rsidRPr="001A1FD3">
        <w:rPr>
          <w:i/>
        </w:rPr>
        <w:t xml:space="preserve"> </w:t>
      </w:r>
      <w:r w:rsidR="008C1F89">
        <w:t>Its</w:t>
      </w:r>
      <w:r w:rsidRPr="001A1FD3">
        <w:t xml:space="preserve"> </w:t>
      </w:r>
      <w:r w:rsidR="007A3FAA" w:rsidRPr="001A1FD3">
        <w:t xml:space="preserve">employees </w:t>
      </w:r>
      <w:r w:rsidRPr="001A1FD3">
        <w:t>provide</w:t>
      </w:r>
      <w:r w:rsidR="002B0106" w:rsidRPr="001A1FD3">
        <w:t xml:space="preserve"> diaper-</w:t>
      </w:r>
      <w:r w:rsidRPr="001A1FD3">
        <w:t xml:space="preserve">changing services to children in </w:t>
      </w:r>
      <w:r w:rsidR="002D1E2E">
        <w:t>the</w:t>
      </w:r>
      <w:r w:rsidRPr="001A1FD3">
        <w:t xml:space="preserve"> </w:t>
      </w:r>
      <w:r w:rsidR="008F29A3" w:rsidRPr="001A1FD3">
        <w:t>I</w:t>
      </w:r>
      <w:r w:rsidRPr="001A1FD3">
        <w:t xml:space="preserve">nfant, </w:t>
      </w:r>
      <w:r w:rsidR="008F29A3" w:rsidRPr="001A1FD3">
        <w:t>T</w:t>
      </w:r>
      <w:r w:rsidRPr="001A1FD3">
        <w:t xml:space="preserve">oddler, and </w:t>
      </w:r>
      <w:r w:rsidR="008F29A3" w:rsidRPr="001A1FD3">
        <w:t>B</w:t>
      </w:r>
      <w:r w:rsidRPr="001A1FD3">
        <w:t xml:space="preserve">eginner classes; </w:t>
      </w:r>
      <w:r w:rsidR="007A3FAA" w:rsidRPr="001A1FD3">
        <w:t xml:space="preserve">they </w:t>
      </w:r>
      <w:r w:rsidR="00742302" w:rsidRPr="001A1FD3">
        <w:t xml:space="preserve">typically </w:t>
      </w:r>
      <w:r w:rsidR="007A3FAA" w:rsidRPr="001A1FD3">
        <w:t xml:space="preserve">do not </w:t>
      </w:r>
      <w:r w:rsidRPr="001A1FD3">
        <w:t xml:space="preserve">provide those services for children in the </w:t>
      </w:r>
      <w:r w:rsidR="008F29A3" w:rsidRPr="001A1FD3">
        <w:t>I</w:t>
      </w:r>
      <w:r w:rsidRPr="001A1FD3">
        <w:t xml:space="preserve">ntermediate and </w:t>
      </w:r>
      <w:r w:rsidR="008F29A3" w:rsidRPr="001A1FD3">
        <w:t>P</w:t>
      </w:r>
      <w:r w:rsidRPr="001A1FD3">
        <w:t>re-</w:t>
      </w:r>
      <w:r w:rsidR="008F29A3" w:rsidRPr="001A1FD3">
        <w:t>K</w:t>
      </w:r>
      <w:r w:rsidRPr="001A1FD3">
        <w:t xml:space="preserve"> programs. </w:t>
      </w:r>
      <w:r w:rsidR="008F29A3" w:rsidRPr="001A1FD3">
        <w:rPr>
          <w:i/>
        </w:rPr>
        <w:t>Id.</w:t>
      </w:r>
      <w:r w:rsidRPr="001A1FD3">
        <w:t xml:space="preserve"> ¶ 14. It is </w:t>
      </w:r>
      <w:r w:rsidR="008F29A3" w:rsidRPr="001A1FD3">
        <w:t>Chesterbrook’s</w:t>
      </w:r>
      <w:r w:rsidRPr="001A1FD3">
        <w:t xml:space="preserve"> policy to place children in a classroom “according to [the child’s] developmental progress,” not necessarily the child’s age. </w:t>
      </w:r>
      <w:r w:rsidR="008F29A3" w:rsidRPr="001A1FD3">
        <w:rPr>
          <w:i/>
        </w:rPr>
        <w:t>Id.</w:t>
      </w:r>
      <w:r w:rsidRPr="001A1FD3">
        <w:t xml:space="preserve"> ¶ </w:t>
      </w:r>
      <w:r w:rsidR="008F29A3" w:rsidRPr="001A1FD3">
        <w:t>17</w:t>
      </w:r>
      <w:r w:rsidRPr="001A1FD3">
        <w:t xml:space="preserve">. </w:t>
      </w:r>
      <w:r w:rsidR="008F29A3" w:rsidRPr="001A1FD3">
        <w:t xml:space="preserve">Thus, </w:t>
      </w:r>
      <w:r w:rsidRPr="001A1FD3">
        <w:t>a child “may continue in a placement or repeat that placement</w:t>
      </w:r>
      <w:r w:rsidR="008C1F89">
        <w:t xml:space="preserve">” if needed. </w:t>
      </w:r>
      <w:r w:rsidRPr="001A1FD3">
        <w:rPr>
          <w:i/>
        </w:rPr>
        <w:t>Id.</w:t>
      </w:r>
    </w:p>
    <w:p w14:paraId="78188751" w14:textId="77777777" w:rsidR="00BA0E3A" w:rsidRDefault="008F29A3" w:rsidP="00F743D6">
      <w:pPr>
        <w:spacing w:line="480" w:lineRule="auto"/>
        <w:ind w:firstLine="720"/>
      </w:pPr>
      <w:r w:rsidRPr="001A1FD3">
        <w:lastRenderedPageBreak/>
        <w:t xml:space="preserve">M.M. was born on July 11, 2011 with Down syndrome. </w:t>
      </w:r>
      <w:r w:rsidRPr="001A1FD3">
        <w:rPr>
          <w:i/>
        </w:rPr>
        <w:t>Id.</w:t>
      </w:r>
      <w:r w:rsidRPr="001A1FD3">
        <w:t xml:space="preserve"> ¶ 10. </w:t>
      </w:r>
      <w:r w:rsidR="00F743D6" w:rsidRPr="001A1FD3">
        <w:t xml:space="preserve">Her parents </w:t>
      </w:r>
      <w:r w:rsidRPr="001A1FD3">
        <w:t xml:space="preserve">enrolled her at </w:t>
      </w:r>
      <w:r w:rsidR="00E93551" w:rsidRPr="001A1FD3">
        <w:t xml:space="preserve">Chesterbook in January 2012. </w:t>
      </w:r>
      <w:r w:rsidRPr="001A1FD3">
        <w:rPr>
          <w:i/>
        </w:rPr>
        <w:t>Id.</w:t>
      </w:r>
      <w:r w:rsidR="00E93551" w:rsidRPr="001A1FD3">
        <w:t xml:space="preserve"> ¶¶ 10, 12. </w:t>
      </w:r>
      <w:r w:rsidRPr="001A1FD3">
        <w:t xml:space="preserve">Chesterbrook </w:t>
      </w:r>
      <w:r w:rsidR="00BA0E3A">
        <w:t>knew of</w:t>
      </w:r>
      <w:r w:rsidRPr="001A1FD3">
        <w:t xml:space="preserve"> M.M.’s</w:t>
      </w:r>
      <w:r w:rsidR="002B0106" w:rsidRPr="001A1FD3">
        <w:t xml:space="preserve"> disability</w:t>
      </w:r>
      <w:r w:rsidR="007A3FAA" w:rsidRPr="001A1FD3">
        <w:t xml:space="preserve"> and </w:t>
      </w:r>
      <w:r w:rsidRPr="001A1FD3">
        <w:t xml:space="preserve">also </w:t>
      </w:r>
      <w:r w:rsidR="00BA0E3A">
        <w:t xml:space="preserve">knew </w:t>
      </w:r>
      <w:r w:rsidRPr="001A1FD3">
        <w:t>that M.M.</w:t>
      </w:r>
      <w:r w:rsidR="00BA0E3A">
        <w:t xml:space="preserve">, </w:t>
      </w:r>
      <w:r w:rsidRPr="001A1FD3">
        <w:t>like all children with Down syndrome</w:t>
      </w:r>
      <w:r w:rsidR="00BA0E3A">
        <w:t xml:space="preserve">, had </w:t>
      </w:r>
      <w:r w:rsidRPr="001A1FD3">
        <w:t xml:space="preserve">certain developmental delays. </w:t>
      </w:r>
      <w:r w:rsidRPr="001A1FD3">
        <w:rPr>
          <w:i/>
        </w:rPr>
        <w:t>Id</w:t>
      </w:r>
      <w:r w:rsidRPr="001A1FD3">
        <w:t xml:space="preserve">. ¶¶ 11, 13. </w:t>
      </w:r>
    </w:p>
    <w:p w14:paraId="53C084D1" w14:textId="26B9E1AC" w:rsidR="00BA0E3A" w:rsidRDefault="007A3FAA" w:rsidP="00BA0E3A">
      <w:pPr>
        <w:spacing w:line="480" w:lineRule="auto"/>
        <w:ind w:firstLine="720"/>
      </w:pPr>
      <w:r w:rsidRPr="001A1FD3">
        <w:t>Initially, and a</w:t>
      </w:r>
      <w:r w:rsidR="008F29A3" w:rsidRPr="001A1FD3">
        <w:t xml:space="preserve">s it </w:t>
      </w:r>
      <w:r w:rsidR="00742302" w:rsidRPr="001A1FD3">
        <w:t xml:space="preserve">did </w:t>
      </w:r>
      <w:r w:rsidR="008F29A3" w:rsidRPr="001A1FD3">
        <w:t>for all children in its</w:t>
      </w:r>
      <w:r w:rsidR="00F743D6" w:rsidRPr="001A1FD3">
        <w:t xml:space="preserve"> Infant, Toddler, and Beginner program</w:t>
      </w:r>
      <w:r w:rsidR="008F29A3" w:rsidRPr="001A1FD3">
        <w:t>s, Chesterbrook employees change</w:t>
      </w:r>
      <w:r w:rsidR="00742302" w:rsidRPr="001A1FD3">
        <w:t>d</w:t>
      </w:r>
      <w:r w:rsidR="008F29A3" w:rsidRPr="001A1FD3">
        <w:t xml:space="preserve"> M.M.’s diaper as needed. </w:t>
      </w:r>
      <w:r w:rsidR="008F29A3" w:rsidRPr="001A1FD3">
        <w:rPr>
          <w:i/>
        </w:rPr>
        <w:t>See</w:t>
      </w:r>
      <w:r w:rsidR="008F29A3" w:rsidRPr="001A1FD3">
        <w:t xml:space="preserve"> </w:t>
      </w:r>
      <w:r w:rsidR="008F29A3" w:rsidRPr="001A1FD3">
        <w:rPr>
          <w:i/>
        </w:rPr>
        <w:t>id.</w:t>
      </w:r>
      <w:r w:rsidR="008F29A3" w:rsidRPr="001A1FD3">
        <w:t xml:space="preserve"> ¶ 14.</w:t>
      </w:r>
      <w:r w:rsidR="00BA0E3A">
        <w:t xml:space="preserve"> </w:t>
      </w:r>
      <w:r w:rsidR="00F743D6" w:rsidRPr="001A1FD3">
        <w:t>In</w:t>
      </w:r>
      <w:r w:rsidR="00E93551" w:rsidRPr="001A1FD3">
        <w:t xml:space="preserve"> December 2014</w:t>
      </w:r>
      <w:r w:rsidR="00520869" w:rsidRPr="001A1FD3">
        <w:t xml:space="preserve">, </w:t>
      </w:r>
      <w:r w:rsidR="00E93551" w:rsidRPr="001A1FD3">
        <w:t>Chesterbrook</w:t>
      </w:r>
      <w:r w:rsidRPr="001A1FD3">
        <w:t xml:space="preserve"> personnel </w:t>
      </w:r>
      <w:r w:rsidR="00E93551" w:rsidRPr="001A1FD3">
        <w:t xml:space="preserve">informed </w:t>
      </w:r>
      <w:r w:rsidR="00520869" w:rsidRPr="001A1FD3">
        <w:t>M.M.’</w:t>
      </w:r>
      <w:r w:rsidR="00E93551" w:rsidRPr="001A1FD3">
        <w:t xml:space="preserve">s parents that </w:t>
      </w:r>
      <w:r w:rsidRPr="001A1FD3">
        <w:t xml:space="preserve">M.M. would be </w:t>
      </w:r>
      <w:r w:rsidR="00E93551" w:rsidRPr="001A1FD3">
        <w:t>move</w:t>
      </w:r>
      <w:r w:rsidRPr="001A1FD3">
        <w:t>d</w:t>
      </w:r>
      <w:r w:rsidR="00E93551" w:rsidRPr="001A1FD3">
        <w:t xml:space="preserve"> into the </w:t>
      </w:r>
      <w:r w:rsidR="00520869" w:rsidRPr="001A1FD3">
        <w:t>Intermediate program</w:t>
      </w:r>
      <w:r w:rsidR="002D1E2E">
        <w:t xml:space="preserve"> and that, as a result, M</w:t>
      </w:r>
      <w:r w:rsidR="00BA0E3A">
        <w:t xml:space="preserve">.M. would have be toilet-trained. </w:t>
      </w:r>
      <w:r w:rsidR="00520869" w:rsidRPr="001A1FD3">
        <w:rPr>
          <w:i/>
        </w:rPr>
        <w:t>See id.</w:t>
      </w:r>
      <w:r w:rsidR="00BA0E3A">
        <w:t xml:space="preserve"> ¶¶ 14, 16, 18.</w:t>
      </w:r>
      <w:r w:rsidR="00520869" w:rsidRPr="001A1FD3">
        <w:rPr>
          <w:i/>
        </w:rPr>
        <w:t xml:space="preserve"> </w:t>
      </w:r>
      <w:r w:rsidR="00BA0E3A">
        <w:t xml:space="preserve">M.M.’s parents were concerned about the </w:t>
      </w:r>
      <w:r w:rsidR="00E93551" w:rsidRPr="001A1FD3">
        <w:t>decision to push M</w:t>
      </w:r>
      <w:r w:rsidR="00520869" w:rsidRPr="001A1FD3">
        <w:t>.</w:t>
      </w:r>
      <w:r w:rsidR="00E93551" w:rsidRPr="001A1FD3">
        <w:t>M</w:t>
      </w:r>
      <w:r w:rsidR="00520869" w:rsidRPr="001A1FD3">
        <w:t>.</w:t>
      </w:r>
      <w:r w:rsidR="00E93551" w:rsidRPr="001A1FD3">
        <w:t xml:space="preserve"> into the </w:t>
      </w:r>
      <w:r w:rsidR="00520869" w:rsidRPr="001A1FD3">
        <w:t>I</w:t>
      </w:r>
      <w:r w:rsidR="00E93551" w:rsidRPr="001A1FD3">
        <w:t xml:space="preserve">ntermediate </w:t>
      </w:r>
      <w:r w:rsidR="002D1E2E">
        <w:t>program</w:t>
      </w:r>
      <w:r w:rsidR="008C1F89">
        <w:t>; they</w:t>
      </w:r>
      <w:r w:rsidR="00F743D6" w:rsidRPr="001A1FD3">
        <w:t xml:space="preserve"> suggested that she </w:t>
      </w:r>
      <w:r w:rsidR="00E93551" w:rsidRPr="001A1FD3">
        <w:t>be kept in the Beginner program</w:t>
      </w:r>
      <w:r w:rsidR="00520869" w:rsidRPr="001A1FD3">
        <w:t xml:space="preserve"> because she was</w:t>
      </w:r>
      <w:r w:rsidR="002D1E2E">
        <w:t xml:space="preserve"> still age-appropriate for it </w:t>
      </w:r>
      <w:r w:rsidR="00520869" w:rsidRPr="001A1FD3">
        <w:t>and because her development needs were more appropriate</w:t>
      </w:r>
      <w:r w:rsidR="00742302" w:rsidRPr="001A1FD3">
        <w:t>ly</w:t>
      </w:r>
      <w:r w:rsidR="00520869" w:rsidRPr="001A1FD3">
        <w:t xml:space="preserve"> addressed </w:t>
      </w:r>
      <w:r w:rsidR="00F743D6" w:rsidRPr="001A1FD3">
        <w:t>there</w:t>
      </w:r>
      <w:r w:rsidR="00520869" w:rsidRPr="001A1FD3">
        <w:t>.</w:t>
      </w:r>
      <w:r w:rsidR="00E93551" w:rsidRPr="001A1FD3">
        <w:t xml:space="preserve"> </w:t>
      </w:r>
      <w:r w:rsidR="00E93551" w:rsidRPr="001A1FD3">
        <w:rPr>
          <w:i/>
        </w:rPr>
        <w:t>Id.</w:t>
      </w:r>
      <w:r w:rsidR="00520869" w:rsidRPr="001A1FD3">
        <w:t xml:space="preserve"> </w:t>
      </w:r>
      <w:r w:rsidR="002D1E2E">
        <w:br/>
      </w:r>
      <w:r w:rsidR="00520869" w:rsidRPr="001A1FD3">
        <w:t xml:space="preserve">¶¶ 9, 18. </w:t>
      </w:r>
    </w:p>
    <w:p w14:paraId="50EE7E35" w14:textId="5287C6D5" w:rsidR="00E93551" w:rsidRPr="001A1FD3" w:rsidRDefault="00E93551" w:rsidP="00BA0E3A">
      <w:pPr>
        <w:spacing w:line="480" w:lineRule="auto"/>
        <w:ind w:firstLine="720"/>
      </w:pPr>
      <w:r w:rsidRPr="001A1FD3">
        <w:lastRenderedPageBreak/>
        <w:t xml:space="preserve">Chesterbrook </w:t>
      </w:r>
      <w:r w:rsidR="00520869" w:rsidRPr="001A1FD3">
        <w:t>ignored M.M.’s parents</w:t>
      </w:r>
      <w:r w:rsidR="00FE1C4D" w:rsidRPr="001A1FD3">
        <w:t>’</w:t>
      </w:r>
      <w:r w:rsidR="00520869" w:rsidRPr="001A1FD3">
        <w:t xml:space="preserve"> requests</w:t>
      </w:r>
      <w:r w:rsidR="002B0106" w:rsidRPr="001A1FD3">
        <w:t xml:space="preserve"> </w:t>
      </w:r>
      <w:r w:rsidR="00520869" w:rsidRPr="001A1FD3">
        <w:t xml:space="preserve">and moved </w:t>
      </w:r>
      <w:r w:rsidR="00F743D6" w:rsidRPr="001A1FD3">
        <w:t xml:space="preserve">M.M. into the </w:t>
      </w:r>
      <w:r w:rsidRPr="001A1FD3">
        <w:t>Intermediate program</w:t>
      </w:r>
      <w:r w:rsidR="00520869" w:rsidRPr="001A1FD3">
        <w:t xml:space="preserve">. </w:t>
      </w:r>
      <w:r w:rsidR="00520869" w:rsidRPr="001A1FD3">
        <w:rPr>
          <w:i/>
        </w:rPr>
        <w:t>Id.</w:t>
      </w:r>
      <w:r w:rsidR="00520869" w:rsidRPr="001A1FD3">
        <w:t xml:space="preserve"> ¶ 18. </w:t>
      </w:r>
      <w:r w:rsidR="00BA0E3A">
        <w:t xml:space="preserve">Not long after, </w:t>
      </w:r>
      <w:r w:rsidRPr="001A1FD3">
        <w:t>Chesterbrook Principal Kelly Honer sent an email to M.M.</w:t>
      </w:r>
      <w:r w:rsidR="00520869" w:rsidRPr="001A1FD3">
        <w:t>’</w:t>
      </w:r>
      <w:r w:rsidRPr="001A1FD3">
        <w:t>s mother stating</w:t>
      </w:r>
      <w:r w:rsidR="00520869" w:rsidRPr="001A1FD3">
        <w:t xml:space="preserve"> that, </w:t>
      </w:r>
      <w:r w:rsidR="002D1E2E">
        <w:t>pursuant to</w:t>
      </w:r>
      <w:r w:rsidR="00520869" w:rsidRPr="001A1FD3">
        <w:t xml:space="preserve"> its “corporate policy,” </w:t>
      </w:r>
      <w:r w:rsidR="007A3FAA" w:rsidRPr="001A1FD3">
        <w:t xml:space="preserve">she </w:t>
      </w:r>
      <w:r w:rsidR="00520869" w:rsidRPr="001A1FD3">
        <w:t>needed to set a deadline for M.M. to be toilet-trained:</w:t>
      </w:r>
    </w:p>
    <w:p w14:paraId="686C9DE7" w14:textId="77777777" w:rsidR="00E93551" w:rsidRPr="001A1FD3" w:rsidRDefault="00E93551" w:rsidP="00E93551">
      <w:pPr>
        <w:spacing w:after="240"/>
        <w:ind w:left="1440" w:right="1440"/>
      </w:pPr>
      <w:r w:rsidRPr="001A1FD3">
        <w:t xml:space="preserve">Since [M.M.] is in a non-diapering classroom we need to set a time frame... I was thinking about April 1st? </w:t>
      </w:r>
      <w:r w:rsidRPr="001A1FD3">
        <w:rPr>
          <w:rFonts w:cs="Arial"/>
        </w:rPr>
        <w:t xml:space="preserve">[It </w:t>
      </w:r>
      <w:r w:rsidRPr="001A1FD3">
        <w:t xml:space="preserve">is] corporate policy </w:t>
      </w:r>
      <w:r w:rsidR="00C52B46" w:rsidRPr="001A1FD3">
        <w:t xml:space="preserve">[that] </w:t>
      </w:r>
      <w:r w:rsidRPr="001A1FD3">
        <w:t>I have to set a time frame to get [M.M.] potty trained.</w:t>
      </w:r>
    </w:p>
    <w:p w14:paraId="29F2A147" w14:textId="77777777" w:rsidR="00E93551" w:rsidRPr="001A1FD3" w:rsidRDefault="00520869" w:rsidP="00E93551">
      <w:pPr>
        <w:spacing w:line="480" w:lineRule="auto"/>
      </w:pPr>
      <w:r w:rsidRPr="001A1FD3">
        <w:rPr>
          <w:i/>
        </w:rPr>
        <w:t>Id.</w:t>
      </w:r>
      <w:r w:rsidR="00E93551" w:rsidRPr="001A1FD3">
        <w:t xml:space="preserve"> ¶ 19. </w:t>
      </w:r>
      <w:r w:rsidR="00F743D6" w:rsidRPr="001A1FD3">
        <w:t>In response</w:t>
      </w:r>
      <w:r w:rsidR="00E93551" w:rsidRPr="001A1FD3">
        <w:t>, M.M.</w:t>
      </w:r>
      <w:r w:rsidRPr="001A1FD3">
        <w:t>’</w:t>
      </w:r>
      <w:r w:rsidR="00E93551" w:rsidRPr="001A1FD3">
        <w:t xml:space="preserve">s parents provided literature to Chesterbrook </w:t>
      </w:r>
      <w:r w:rsidR="007A3FAA" w:rsidRPr="001A1FD3">
        <w:t xml:space="preserve">personnel </w:t>
      </w:r>
      <w:r w:rsidR="008C1F89">
        <w:t>about delayed toilet-</w:t>
      </w:r>
      <w:r w:rsidR="00E93551" w:rsidRPr="001A1FD3">
        <w:t xml:space="preserve">training in children with Down syndrome. </w:t>
      </w:r>
      <w:r w:rsidRPr="001A1FD3">
        <w:rPr>
          <w:i/>
        </w:rPr>
        <w:t>Id.</w:t>
      </w:r>
      <w:r w:rsidR="00E93551" w:rsidRPr="001A1FD3">
        <w:t xml:space="preserve"> ¶ 20. </w:t>
      </w:r>
    </w:p>
    <w:p w14:paraId="5C21EC05" w14:textId="097B42DD" w:rsidR="00E93551" w:rsidRPr="001A1FD3" w:rsidRDefault="00D80D20" w:rsidP="00D80D20">
      <w:pPr>
        <w:spacing w:line="480" w:lineRule="auto"/>
        <w:ind w:firstLine="720"/>
      </w:pPr>
      <w:r>
        <w:t>When M.M. failed to meet that deadline, Chesterbrook expelled her (on five days’ notice).</w:t>
      </w:r>
      <w:r w:rsidR="003D311B" w:rsidRPr="001A1FD3">
        <w:rPr>
          <w:i/>
        </w:rPr>
        <w:t xml:space="preserve"> </w:t>
      </w:r>
      <w:r w:rsidR="00B04E83" w:rsidRPr="001A1FD3">
        <w:rPr>
          <w:i/>
        </w:rPr>
        <w:t>I</w:t>
      </w:r>
      <w:r w:rsidR="003D311B" w:rsidRPr="001A1FD3">
        <w:rPr>
          <w:i/>
        </w:rPr>
        <w:t>d.</w:t>
      </w:r>
      <w:r w:rsidR="00E93551" w:rsidRPr="001A1FD3">
        <w:t xml:space="preserve"> ¶ 21. M</w:t>
      </w:r>
      <w:r w:rsidR="003D311B" w:rsidRPr="001A1FD3">
        <w:t>.</w:t>
      </w:r>
      <w:r w:rsidR="00E93551" w:rsidRPr="001A1FD3">
        <w:t>M</w:t>
      </w:r>
      <w:r w:rsidR="003D311B" w:rsidRPr="001A1FD3">
        <w:t>.</w:t>
      </w:r>
      <w:r w:rsidR="00E93551" w:rsidRPr="001A1FD3">
        <w:t>’s</w:t>
      </w:r>
      <w:r w:rsidR="00034A55">
        <w:t xml:space="preserve"> parents</w:t>
      </w:r>
      <w:r w:rsidR="00E93551" w:rsidRPr="001A1FD3">
        <w:t xml:space="preserve"> provided a doctor’s note</w:t>
      </w:r>
      <w:r>
        <w:t>, again</w:t>
      </w:r>
      <w:r w:rsidR="00E93551" w:rsidRPr="001A1FD3">
        <w:t xml:space="preserve"> explaining </w:t>
      </w:r>
      <w:r w:rsidR="00390E85">
        <w:t xml:space="preserve">M.M.’s </w:t>
      </w:r>
      <w:r w:rsidR="00E93551" w:rsidRPr="001A1FD3">
        <w:t xml:space="preserve">developmental delays and </w:t>
      </w:r>
      <w:r>
        <w:t xml:space="preserve">their </w:t>
      </w:r>
      <w:r w:rsidR="00E93551" w:rsidRPr="001A1FD3">
        <w:t>impact her toilet-training</w:t>
      </w:r>
      <w:r>
        <w:t xml:space="preserve">, and </w:t>
      </w:r>
      <w:r w:rsidR="00E93551" w:rsidRPr="001A1FD3">
        <w:t>they requested that M</w:t>
      </w:r>
      <w:r w:rsidR="003D311B" w:rsidRPr="001A1FD3">
        <w:t>.</w:t>
      </w:r>
      <w:r w:rsidR="00E93551" w:rsidRPr="001A1FD3">
        <w:t>M</w:t>
      </w:r>
      <w:r w:rsidR="003D311B" w:rsidRPr="001A1FD3">
        <w:t>.</w:t>
      </w:r>
      <w:r w:rsidR="00E93551" w:rsidRPr="001A1FD3">
        <w:t xml:space="preserve"> be moved back into the </w:t>
      </w:r>
      <w:r w:rsidR="003D311B" w:rsidRPr="001A1FD3">
        <w:t>B</w:t>
      </w:r>
      <w:r w:rsidR="00E93551" w:rsidRPr="001A1FD3">
        <w:t>eginner program</w:t>
      </w:r>
      <w:r>
        <w:t>. These efforts were unsuccessful, and M.M.</w:t>
      </w:r>
      <w:r w:rsidR="00814588">
        <w:t>’s</w:t>
      </w:r>
      <w:r>
        <w:t xml:space="preserve"> last day at Chesterbrook was March 31, 2015. </w:t>
      </w:r>
      <w:r w:rsidR="00E93551" w:rsidRPr="001A1FD3">
        <w:rPr>
          <w:i/>
        </w:rPr>
        <w:t>Id.</w:t>
      </w:r>
      <w:r w:rsidR="003D311B" w:rsidRPr="001A1FD3">
        <w:rPr>
          <w:i/>
        </w:rPr>
        <w:t xml:space="preserve"> </w:t>
      </w:r>
      <w:r w:rsidR="00E93551" w:rsidRPr="001A1FD3">
        <w:t>¶ 24.</w:t>
      </w:r>
    </w:p>
    <w:p w14:paraId="6BC74763" w14:textId="77777777" w:rsidR="00E93551" w:rsidRPr="001A1FD3" w:rsidRDefault="00985595" w:rsidP="00E93551">
      <w:pPr>
        <w:pStyle w:val="Heading1"/>
        <w:rPr>
          <w:b/>
          <w:szCs w:val="24"/>
        </w:rPr>
      </w:pPr>
      <w:bookmarkStart w:id="13" w:name="_Toc481414269"/>
      <w:r w:rsidRPr="001A1FD3">
        <w:rPr>
          <w:b/>
          <w:szCs w:val="24"/>
        </w:rPr>
        <w:lastRenderedPageBreak/>
        <w:t>OVERVIEW OF THE ADA</w:t>
      </w:r>
      <w:bookmarkEnd w:id="13"/>
    </w:p>
    <w:p w14:paraId="570A9939" w14:textId="47AE56D2" w:rsidR="00490A26" w:rsidRPr="001A1FD3" w:rsidRDefault="00490A26" w:rsidP="00D80D20">
      <w:pPr>
        <w:spacing w:line="480" w:lineRule="auto"/>
        <w:ind w:firstLine="720"/>
      </w:pPr>
      <w:r w:rsidRPr="001A1FD3">
        <w:t xml:space="preserve">Congress enacted the </w:t>
      </w:r>
      <w:r w:rsidR="00D31F63" w:rsidRPr="001A1FD3">
        <w:t xml:space="preserve">ADA </w:t>
      </w:r>
      <w:r w:rsidRPr="001A1FD3">
        <w:t>to remedy widespread, pervasive discrimination against individuals with disabilities</w:t>
      </w:r>
      <w:r w:rsidR="00D80D20">
        <w:t xml:space="preserve"> and </w:t>
      </w:r>
      <w:r w:rsidRPr="001A1FD3">
        <w:t>“to bring individuals with disabilities into the economic and soci</w:t>
      </w:r>
      <w:r w:rsidR="00D17EBD" w:rsidRPr="001A1FD3">
        <w:t xml:space="preserve">al mainstream of American life.” </w:t>
      </w:r>
      <w:bookmarkStart w:id="14" w:name="dabmci_0b85f5f0db574c1db2eb83f712f5952a"/>
      <w:r w:rsidR="00BF041A">
        <w:fldChar w:fldCharType="begin"/>
      </w:r>
      <w:r w:rsidR="00BF041A" w:rsidRPr="00BF041A">
        <w:instrText xml:space="preserve"> TA \l "</w:instrText>
      </w:r>
      <w:r w:rsidR="00BF041A" w:rsidRPr="00BF041A">
        <w:rPr>
          <w:i/>
          <w:color w:val="000000"/>
        </w:rPr>
        <w:instrText>Menkowitz v. Pottstown Mem. Med. Ctr.</w:instrText>
      </w:r>
      <w:r w:rsidR="00BF041A" w:rsidRPr="00BF041A">
        <w:rPr>
          <w:color w:val="000000"/>
        </w:rPr>
        <w:instrText>,</w:instrText>
      </w:r>
      <w:r w:rsidR="00BF041A" w:rsidRPr="00BF041A">
        <w:rPr>
          <w:color w:val="000000"/>
        </w:rPr>
        <w:br/>
        <w:instrText>154 F.3d 113 (3d Cir. 1998)</w:instrText>
      </w:r>
      <w:r w:rsidR="00BF041A" w:rsidRPr="00BF041A">
        <w:instrText xml:space="preserve">" \s "dabmci_0b85f5f0db574c1db2eb83f712f5952a_1" \c 1 </w:instrText>
      </w:r>
      <w:r w:rsidR="00BF041A">
        <w:fldChar w:fldCharType="end"/>
      </w:r>
      <w:r w:rsidR="00D17EBD" w:rsidRPr="001A1FD3">
        <w:rPr>
          <w:i/>
        </w:rPr>
        <w:t>Menkowitz v. Pottstown Mem. Med. Ctr.</w:t>
      </w:r>
      <w:r w:rsidR="00D17EBD" w:rsidRPr="001A1FD3">
        <w:t>, 154 F.3d 113, 120 (3d Cir. 1998)</w:t>
      </w:r>
      <w:bookmarkEnd w:id="14"/>
      <w:r w:rsidR="00D17EBD" w:rsidRPr="001A1FD3">
        <w:t xml:space="preserve"> (quoting legislative history)</w:t>
      </w:r>
      <w:r w:rsidRPr="001A1FD3">
        <w:t>. Such discrimination takes many forms, from outright intentional exclusion to less visible but equally injurious forms</w:t>
      </w:r>
      <w:r w:rsidR="00F67C15" w:rsidRPr="001A1FD3">
        <w:t>,</w:t>
      </w:r>
      <w:r w:rsidRPr="001A1FD3">
        <w:t xml:space="preserve"> such as overprotective policies or a failure to make reasonable modifications that would foster inclusion. </w:t>
      </w:r>
      <w:bookmarkStart w:id="15" w:name="dabmci_18c79bd1d45e4d2eb9d4ca215f9da932"/>
      <w:r w:rsidR="00BF041A">
        <w:fldChar w:fldCharType="begin"/>
      </w:r>
      <w:r w:rsidR="00BF041A" w:rsidRPr="00BF041A">
        <w:instrText xml:space="preserve"> TA \l "</w:instrText>
      </w:r>
      <w:r w:rsidR="00BF041A" w:rsidRPr="00BF041A">
        <w:rPr>
          <w:color w:val="000000"/>
        </w:rPr>
        <w:instrText>42 U.S.C. §§ 12101(a)</w:instrText>
      </w:r>
      <w:r w:rsidR="00BF041A" w:rsidRPr="00BF041A">
        <w:instrText xml:space="preserve">" \s "dabmci_18c79bd1d45e4d2eb9d4ca215f9da932_1" \c 2 </w:instrText>
      </w:r>
      <w:r w:rsidR="00BF041A">
        <w:fldChar w:fldCharType="end"/>
      </w:r>
      <w:r w:rsidRPr="001A1FD3">
        <w:t>42 U.S.C. §§ 12101(a)</w:t>
      </w:r>
      <w:bookmarkEnd w:id="15"/>
      <w:r w:rsidRPr="001A1FD3">
        <w:t>(2</w:t>
      </w:r>
      <w:r w:rsidR="00D80D20">
        <w:t>, 5</w:t>
      </w:r>
      <w:r w:rsidRPr="001A1FD3">
        <w:t xml:space="preserve">). </w:t>
      </w:r>
      <w:r w:rsidR="00D80D20">
        <w:t>Because d</w:t>
      </w:r>
      <w:r w:rsidRPr="001A1FD3">
        <w:t>isability discrimination in any form is irreconcilable with fundamental national principles of equal opportunity,</w:t>
      </w:r>
      <w:r w:rsidR="00D80D20">
        <w:t xml:space="preserve"> the federal government “plays a central role …</w:t>
      </w:r>
      <w:r w:rsidR="00814588">
        <w:t xml:space="preserve"> </w:t>
      </w:r>
      <w:r w:rsidR="00D80D20">
        <w:t xml:space="preserve">in enforcing” the ADA, which was designed </w:t>
      </w:r>
      <w:r w:rsidRPr="001A1FD3">
        <w:t>to “provide a clear and comprehensive national mandate for the elimination of discrimination against individuals with disabilities” through “clear, strong, consistent, enforceable standards</w:t>
      </w:r>
      <w:r w:rsidR="00D80D20">
        <w:t xml:space="preserve">.” </w:t>
      </w:r>
      <w:bookmarkStart w:id="16" w:name="dabmci_4b437e5ead1c4a938ef49fb61f83b80c"/>
      <w:r w:rsidRPr="001A1FD3">
        <w:rPr>
          <w:i/>
        </w:rPr>
        <w:t>Id.</w:t>
      </w:r>
      <w:r w:rsidRPr="001A1FD3">
        <w:t xml:space="preserve"> §§ 12101(b)(1)</w:t>
      </w:r>
      <w:bookmarkEnd w:id="16"/>
      <w:r w:rsidRPr="001A1FD3">
        <w:t xml:space="preserve">, 12101(b)(3). </w:t>
      </w:r>
    </w:p>
    <w:p w14:paraId="4CA50E13" w14:textId="6C604402" w:rsidR="00D31F63" w:rsidRPr="001A1FD3" w:rsidRDefault="00490A26" w:rsidP="00490A26">
      <w:pPr>
        <w:spacing w:line="480" w:lineRule="auto"/>
        <w:ind w:firstLine="720"/>
      </w:pPr>
      <w:r w:rsidRPr="001A1FD3">
        <w:lastRenderedPageBreak/>
        <w:t xml:space="preserve">This case involves </w:t>
      </w:r>
      <w:r w:rsidR="00C063CF" w:rsidRPr="001A1FD3">
        <w:t>T</w:t>
      </w:r>
      <w:r w:rsidRPr="001A1FD3">
        <w:t xml:space="preserve">itle III of the ADA, </w:t>
      </w:r>
      <w:r w:rsidR="00D31F63" w:rsidRPr="001A1FD3">
        <w:t xml:space="preserve">which </w:t>
      </w:r>
      <w:r w:rsidR="007F3EC9">
        <w:t>prohibits</w:t>
      </w:r>
      <w:r w:rsidR="00D31F63" w:rsidRPr="001A1FD3">
        <w:t xml:space="preserve"> places of </w:t>
      </w:r>
      <w:r w:rsidRPr="001A1FD3">
        <w:t xml:space="preserve">public accommodation </w:t>
      </w:r>
      <w:r w:rsidR="00D31F63" w:rsidRPr="001A1FD3">
        <w:t>from discriminating</w:t>
      </w:r>
      <w:r w:rsidRPr="001A1FD3">
        <w:t xml:space="preserve"> against an individual on the basis of </w:t>
      </w:r>
      <w:r w:rsidR="00D31F63" w:rsidRPr="001A1FD3">
        <w:t>a d</w:t>
      </w:r>
      <w:r w:rsidR="00C063CF" w:rsidRPr="001A1FD3">
        <w:t>isa</w:t>
      </w:r>
      <w:r w:rsidR="00D31F63" w:rsidRPr="001A1FD3">
        <w:t xml:space="preserve">bility in a </w:t>
      </w:r>
      <w:r w:rsidR="00D17EBD" w:rsidRPr="001A1FD3">
        <w:t>way</w:t>
      </w:r>
      <w:r w:rsidR="00D31F63" w:rsidRPr="001A1FD3">
        <w:t xml:space="preserve"> that deprives that </w:t>
      </w:r>
      <w:r w:rsidR="00C063CF" w:rsidRPr="001A1FD3">
        <w:t xml:space="preserve">individual </w:t>
      </w:r>
      <w:r w:rsidR="00D31F63" w:rsidRPr="001A1FD3">
        <w:t xml:space="preserve">of </w:t>
      </w:r>
      <w:r w:rsidRPr="001A1FD3">
        <w:t xml:space="preserve">full and equal enjoyment of the goods, services, facilities, privileges, advantages, or accommodations of the public accommodation. </w:t>
      </w:r>
      <w:r w:rsidR="00814588">
        <w:rPr>
          <w:i/>
        </w:rPr>
        <w:t>Id.</w:t>
      </w:r>
      <w:r w:rsidRPr="001A1FD3">
        <w:t xml:space="preserve"> § 12182(a)</w:t>
      </w:r>
      <w:r w:rsidR="007F3EC9">
        <w:t xml:space="preserve">. It also </w:t>
      </w:r>
      <w:r w:rsidR="00D31F63" w:rsidRPr="001A1FD3">
        <w:t xml:space="preserve">prohibits discrimination </w:t>
      </w:r>
      <w:r w:rsidR="00D17EBD" w:rsidRPr="001A1FD3">
        <w:t xml:space="preserve">based on an </w:t>
      </w:r>
      <w:r w:rsidR="00D31F63" w:rsidRPr="001A1FD3">
        <w:t xml:space="preserve">individual’s </w:t>
      </w:r>
      <w:r w:rsidR="00D17EBD" w:rsidRPr="001A1FD3">
        <w:t xml:space="preserve">relationship </w:t>
      </w:r>
      <w:r w:rsidR="00D31F63" w:rsidRPr="001A1FD3">
        <w:t>to a person</w:t>
      </w:r>
      <w:r w:rsidR="007F3EC9">
        <w:t xml:space="preserve"> with a disability. </w:t>
      </w:r>
      <w:r w:rsidR="00814588">
        <w:rPr>
          <w:i/>
        </w:rPr>
        <w:t xml:space="preserve">Id. </w:t>
      </w:r>
      <w:r w:rsidR="007F3EC9">
        <w:t xml:space="preserve">§ </w:t>
      </w:r>
      <w:r w:rsidR="00D31F63" w:rsidRPr="001A1FD3">
        <w:t>12</w:t>
      </w:r>
      <w:r w:rsidR="007F3EC9">
        <w:t>182(b)(1)(E)</w:t>
      </w:r>
      <w:r w:rsidR="00D31F63" w:rsidRPr="001A1FD3">
        <w:t>.</w:t>
      </w:r>
    </w:p>
    <w:p w14:paraId="7319DE18" w14:textId="7CBE934B" w:rsidR="00C063CF" w:rsidRPr="001A1FD3" w:rsidRDefault="00490A26" w:rsidP="00985595">
      <w:pPr>
        <w:spacing w:line="480" w:lineRule="auto"/>
        <w:ind w:firstLine="720"/>
      </w:pPr>
      <w:r w:rsidRPr="001A1FD3">
        <w:t>Congress explicitly identified child care centers</w:t>
      </w:r>
      <w:r w:rsidR="00D17EBD" w:rsidRPr="001A1FD3">
        <w:t xml:space="preserve"> and </w:t>
      </w:r>
      <w:r w:rsidRPr="001A1FD3">
        <w:t>preschools</w:t>
      </w:r>
      <w:r w:rsidR="00D17EBD" w:rsidRPr="001A1FD3">
        <w:t xml:space="preserve"> as</w:t>
      </w:r>
      <w:r w:rsidRPr="001A1FD3">
        <w:t xml:space="preserve"> among the </w:t>
      </w:r>
      <w:r w:rsidR="00093FDB" w:rsidRPr="001A1FD3">
        <w:t xml:space="preserve">places of </w:t>
      </w:r>
      <w:r w:rsidRPr="001A1FD3">
        <w:t xml:space="preserve">public accommodation subject to </w:t>
      </w:r>
      <w:r w:rsidR="00B04E83" w:rsidRPr="001A1FD3">
        <w:t>Title III</w:t>
      </w:r>
      <w:r w:rsidRPr="001A1FD3">
        <w:t xml:space="preserve">. </w:t>
      </w:r>
      <w:r w:rsidR="00814588">
        <w:rPr>
          <w:i/>
        </w:rPr>
        <w:t xml:space="preserve">Id. </w:t>
      </w:r>
      <w:r w:rsidRPr="001A1FD3">
        <w:t xml:space="preserve">§ 12181(7)(J), (K); 28 C.F.R. </w:t>
      </w:r>
      <w:r w:rsidR="00B33C1F">
        <w:br/>
      </w:r>
      <w:r w:rsidRPr="001A1FD3">
        <w:t>§ 36.104.</w:t>
      </w:r>
      <w:r w:rsidR="00D31F63" w:rsidRPr="001A1FD3">
        <w:t xml:space="preserve"> </w:t>
      </w:r>
      <w:r w:rsidR="00D17EBD" w:rsidRPr="001A1FD3">
        <w:t>Title III e</w:t>
      </w:r>
      <w:r w:rsidR="00D31F63" w:rsidRPr="001A1FD3">
        <w:t xml:space="preserve">ntities </w:t>
      </w:r>
      <w:r w:rsidRPr="001A1FD3">
        <w:t xml:space="preserve">cannot use standards, criteria, or methods of administration that have the effect of </w:t>
      </w:r>
      <w:r w:rsidR="00CD558E" w:rsidRPr="001A1FD3">
        <w:t xml:space="preserve">discriminating </w:t>
      </w:r>
      <w:r w:rsidRPr="001A1FD3">
        <w:t xml:space="preserve">on the basis of disability or impose eligibility criteria that screen out or tend to screen out individuals with disabilities. </w:t>
      </w:r>
      <w:bookmarkStart w:id="17" w:name="dabmci_486c1728a9f840ea949e73c310684b0b"/>
      <w:r w:rsidR="00BF041A">
        <w:fldChar w:fldCharType="begin"/>
      </w:r>
      <w:r w:rsidR="00BF041A" w:rsidRPr="00BF041A">
        <w:instrText xml:space="preserve"> TA \l "</w:instrText>
      </w:r>
      <w:r w:rsidR="00BF041A" w:rsidRPr="00BF041A">
        <w:rPr>
          <w:color w:val="000000"/>
        </w:rPr>
        <w:instrText>42 U.S.C. §§ 12182(b)(1)(D)</w:instrText>
      </w:r>
      <w:r w:rsidR="00BF041A" w:rsidRPr="00BF041A">
        <w:instrText xml:space="preserve">" \s "dabmci_486c1728a9f840ea949e73c310684b0b_1" \c 2 </w:instrText>
      </w:r>
      <w:r w:rsidR="00BF041A">
        <w:fldChar w:fldCharType="end"/>
      </w:r>
      <w:r w:rsidR="00D17EBD" w:rsidRPr="001A1FD3">
        <w:t xml:space="preserve">42 U.S.C. </w:t>
      </w:r>
      <w:r w:rsidRPr="001A1FD3">
        <w:t>§§ 12182(b)(1)(D)</w:t>
      </w:r>
      <w:bookmarkEnd w:id="17"/>
      <w:r w:rsidRPr="001A1FD3">
        <w:t xml:space="preserve">, 12182(b)(2)(A)(i); </w:t>
      </w:r>
      <w:r w:rsidRPr="001A1FD3">
        <w:rPr>
          <w:i/>
        </w:rPr>
        <w:t>see also</w:t>
      </w:r>
      <w:r w:rsidRPr="001A1FD3">
        <w:t xml:space="preserve"> 28 C.F.R. </w:t>
      </w:r>
      <w:r w:rsidR="00B33C1F">
        <w:br/>
      </w:r>
      <w:r w:rsidRPr="001A1FD3">
        <w:t xml:space="preserve">§§ 36.204, 36.301(a). </w:t>
      </w:r>
      <w:r w:rsidR="00D17EBD" w:rsidRPr="001A1FD3">
        <w:t>P</w:t>
      </w:r>
      <w:r w:rsidRPr="001A1FD3">
        <w:t>ublic accommodation</w:t>
      </w:r>
      <w:r w:rsidR="00D17EBD" w:rsidRPr="001A1FD3">
        <w:t>s</w:t>
      </w:r>
      <w:r w:rsidRPr="001A1FD3">
        <w:t xml:space="preserve"> </w:t>
      </w:r>
      <w:r w:rsidR="00B04E83" w:rsidRPr="001A1FD3">
        <w:t xml:space="preserve">must </w:t>
      </w:r>
      <w:r w:rsidRPr="001A1FD3">
        <w:t xml:space="preserve">make reasonable modifications to </w:t>
      </w:r>
      <w:r w:rsidR="00B04E83" w:rsidRPr="001A1FD3">
        <w:t xml:space="preserve">their </w:t>
      </w:r>
      <w:r w:rsidRPr="001A1FD3">
        <w:t xml:space="preserve">policies, practices, and </w:t>
      </w:r>
      <w:r w:rsidRPr="001A1FD3">
        <w:lastRenderedPageBreak/>
        <w:t xml:space="preserve">procedures to ensure full and equal enjoyment of </w:t>
      </w:r>
      <w:r w:rsidR="00F20A8B">
        <w:t xml:space="preserve">their </w:t>
      </w:r>
      <w:r w:rsidRPr="001A1FD3">
        <w:t>services b</w:t>
      </w:r>
      <w:r w:rsidR="00D17EBD" w:rsidRPr="001A1FD3">
        <w:t xml:space="preserve">y individuals with disabilities, </w:t>
      </w:r>
      <w:r w:rsidRPr="001A1FD3">
        <w:t>unless the public accommodation can show that such modification would fundamentally alter the nature of the public accommodation’s services. 42 U.S.C. § 12182(b)(2)</w:t>
      </w:r>
      <w:r w:rsidR="008D03DF" w:rsidRPr="001A1FD3">
        <w:t xml:space="preserve">(A)(ii); </w:t>
      </w:r>
      <w:bookmarkStart w:id="18" w:name="dabmci_9ef7e6feef1244d3a08e6198b26e466b"/>
      <w:r w:rsidR="00BF041A">
        <w:fldChar w:fldCharType="begin"/>
      </w:r>
      <w:r w:rsidR="00BF041A" w:rsidRPr="00BF041A">
        <w:instrText xml:space="preserve"> TA \l "</w:instrText>
      </w:r>
      <w:r w:rsidR="00BF041A" w:rsidRPr="00BF041A">
        <w:rPr>
          <w:color w:val="000000"/>
        </w:rPr>
        <w:instrText>28 C.F.R. § 36.302(a)</w:instrText>
      </w:r>
      <w:r w:rsidR="00BF041A" w:rsidRPr="00BF041A">
        <w:instrText xml:space="preserve">" \s "dabmci_9ef7e6feef1244d3a08e6198b26e466b_1" \c 4 </w:instrText>
      </w:r>
      <w:r w:rsidR="00BF041A">
        <w:fldChar w:fldCharType="end"/>
      </w:r>
      <w:r w:rsidR="008D03DF" w:rsidRPr="001A1FD3">
        <w:t>28 C.F.R. § 36.302(a)</w:t>
      </w:r>
      <w:bookmarkEnd w:id="18"/>
      <w:r w:rsidR="008D03DF" w:rsidRPr="001A1FD3">
        <w:t>.</w:t>
      </w:r>
      <w:r w:rsidR="008D03DF" w:rsidRPr="001A1FD3">
        <w:rPr>
          <w:rStyle w:val="FootnoteReference"/>
        </w:rPr>
        <w:footnoteReference w:id="1"/>
      </w:r>
    </w:p>
    <w:p w14:paraId="426A2DD6" w14:textId="76AC65FC" w:rsidR="007F69A5" w:rsidRPr="001A1FD3" w:rsidRDefault="00814588" w:rsidP="007F3EC9">
      <w:pPr>
        <w:spacing w:line="480" w:lineRule="auto"/>
        <w:ind w:firstLine="720"/>
      </w:pPr>
      <w:r>
        <w:lastRenderedPageBreak/>
        <w:t>Where, like here,</w:t>
      </w:r>
      <w:r w:rsidR="00CD558E" w:rsidRPr="001A1FD3">
        <w:t xml:space="preserve"> the Attorney General </w:t>
      </w:r>
      <w:r w:rsidR="008C1F89">
        <w:t>determines that a Title III entity’s discriminatory conduct raises an issue of general public importance, it can commence an action in a federal district court.</w:t>
      </w:r>
      <w:r w:rsidR="008C1F89" w:rsidRPr="001A1FD3">
        <w:rPr>
          <w:rStyle w:val="FootnoteReference"/>
        </w:rPr>
        <w:footnoteReference w:id="2"/>
      </w:r>
      <w:r w:rsidR="008C1F89">
        <w:t xml:space="preserve"> </w:t>
      </w:r>
      <w:r w:rsidR="007F3EC9">
        <w:t xml:space="preserve">In such actions, the </w:t>
      </w:r>
      <w:r w:rsidR="008C1F89">
        <w:t xml:space="preserve">court can </w:t>
      </w:r>
      <w:r w:rsidR="007F69A5" w:rsidRPr="001A1FD3">
        <w:t>“grant any equitable relief</w:t>
      </w:r>
      <w:r w:rsidR="007F3EC9">
        <w:t xml:space="preserve">,” </w:t>
      </w:r>
      <w:r w:rsidR="00CD558E" w:rsidRPr="001A1FD3">
        <w:t>which can include, for instance,</w:t>
      </w:r>
      <w:r w:rsidR="007F3EC9">
        <w:t xml:space="preserve"> permanent injunctive relief, changes to policies or procedures, civil penalties, and damages for “persons aggrieved” by the discriminatory conduct. </w:t>
      </w:r>
      <w:r w:rsidR="007F69A5" w:rsidRPr="001A1FD3">
        <w:t>42 U.S.C. § 12188(b)(2)(A</w:t>
      </w:r>
      <w:r w:rsidR="007F3EC9">
        <w:t>-C</w:t>
      </w:r>
      <w:r w:rsidR="007F69A5" w:rsidRPr="001A1FD3">
        <w:t xml:space="preserve">). </w:t>
      </w:r>
    </w:p>
    <w:p w14:paraId="7E6D52F7" w14:textId="77777777" w:rsidR="00985595" w:rsidRPr="001A1FD3" w:rsidRDefault="00985595" w:rsidP="00985595">
      <w:pPr>
        <w:pStyle w:val="Heading1"/>
        <w:rPr>
          <w:b/>
          <w:szCs w:val="24"/>
        </w:rPr>
      </w:pPr>
      <w:bookmarkStart w:id="23" w:name="_Toc481414270"/>
      <w:r w:rsidRPr="001A1FD3">
        <w:rPr>
          <w:b/>
          <w:szCs w:val="24"/>
        </w:rPr>
        <w:lastRenderedPageBreak/>
        <w:t>ARGUMENT</w:t>
      </w:r>
      <w:bookmarkEnd w:id="23"/>
    </w:p>
    <w:p w14:paraId="4314C0F8" w14:textId="77777777" w:rsidR="00985595" w:rsidRPr="001A1FD3" w:rsidRDefault="00491821" w:rsidP="00261682">
      <w:pPr>
        <w:pStyle w:val="Heading2"/>
        <w:rPr>
          <w:szCs w:val="24"/>
        </w:rPr>
      </w:pPr>
      <w:bookmarkStart w:id="24" w:name="_Toc481414271"/>
      <w:r w:rsidRPr="001A1FD3">
        <w:rPr>
          <w:szCs w:val="24"/>
          <w:u w:val="none"/>
        </w:rPr>
        <w:t>THE COURT SHOULD REJECT NLC’S REQUEST FOR A STAY</w:t>
      </w:r>
      <w:bookmarkEnd w:id="24"/>
      <w:r w:rsidRPr="001A1FD3">
        <w:rPr>
          <w:szCs w:val="24"/>
          <w:u w:val="none"/>
        </w:rPr>
        <w:t xml:space="preserve"> </w:t>
      </w:r>
    </w:p>
    <w:p w14:paraId="0E3BD206" w14:textId="6C977B63" w:rsidR="00491821" w:rsidRPr="001A1FD3" w:rsidRDefault="00491821" w:rsidP="00491821">
      <w:pPr>
        <w:spacing w:line="480" w:lineRule="auto"/>
        <w:ind w:firstLine="720"/>
      </w:pPr>
      <w:r w:rsidRPr="001A1FD3">
        <w:t xml:space="preserve">NLC’s attempt to stay this action has no basis in law or fact. The </w:t>
      </w:r>
      <w:r w:rsidRPr="001A1FD3">
        <w:rPr>
          <w:i/>
        </w:rPr>
        <w:t>Colorado River</w:t>
      </w:r>
      <w:r w:rsidRPr="001A1FD3">
        <w:t xml:space="preserve"> Doctrine, limited to only those circumstances in which the district court “will have nothing further to do in resolving any substantive part of the case,” </w:t>
      </w:r>
      <w:bookmarkStart w:id="25" w:name="dabmci_191b9439705e463c92cc73880d5eb90e"/>
      <w:r w:rsidR="00BF041A">
        <w:fldChar w:fldCharType="begin"/>
      </w:r>
      <w:r w:rsidR="00BF041A" w:rsidRPr="00BF041A">
        <w:instrText xml:space="preserve"> TA \l "</w:instrText>
      </w:r>
      <w:r w:rsidR="00BF041A" w:rsidRPr="00BF041A">
        <w:rPr>
          <w:i/>
          <w:color w:val="000000"/>
        </w:rPr>
        <w:instrText>Moses H. Cone Memorial Hosp. v. Mercury Constr. Corp.</w:instrText>
      </w:r>
      <w:r w:rsidR="00BF041A" w:rsidRPr="00BF041A">
        <w:rPr>
          <w:color w:val="000000"/>
        </w:rPr>
        <w:instrText>,</w:instrText>
      </w:r>
      <w:r w:rsidR="00BF041A" w:rsidRPr="00BF041A">
        <w:rPr>
          <w:color w:val="000000"/>
        </w:rPr>
        <w:br/>
        <w:instrText>460 U.S. 1 (1983)</w:instrText>
      </w:r>
      <w:r w:rsidR="00BF041A" w:rsidRPr="00BF041A">
        <w:instrText xml:space="preserve">" \s "dabmci_191b9439705e463c92cc73880d5eb90e_3" \c 1 </w:instrText>
      </w:r>
      <w:r w:rsidR="00BF041A">
        <w:fldChar w:fldCharType="end"/>
      </w:r>
      <w:r w:rsidRPr="001A1FD3">
        <w:rPr>
          <w:i/>
        </w:rPr>
        <w:t>Moses H. Cone Memorial Hosp. v. Mercury Constr. Corp.</w:t>
      </w:r>
      <w:r w:rsidRPr="001A1FD3">
        <w:t>, 460 U.S. 1, 28 (1983)</w:t>
      </w:r>
      <w:bookmarkEnd w:id="25"/>
      <w:r w:rsidRPr="001A1FD3">
        <w:t>, does not apply here. Similarly, NLC’s plea to delay these proceedings premised upon the more general “inherent power of the court” is also inappropriate.</w:t>
      </w:r>
    </w:p>
    <w:p w14:paraId="27F4E12F" w14:textId="1D5A3FA1" w:rsidR="00491821" w:rsidRPr="001A1FD3" w:rsidRDefault="00491821" w:rsidP="00491821">
      <w:pPr>
        <w:pStyle w:val="Heading3"/>
      </w:pPr>
      <w:bookmarkStart w:id="26" w:name="_Toc481414272"/>
      <w:r w:rsidRPr="001A1FD3">
        <w:rPr>
          <w:i/>
        </w:rPr>
        <w:t>Colorado River</w:t>
      </w:r>
      <w:r w:rsidRPr="001A1FD3">
        <w:t xml:space="preserve"> </w:t>
      </w:r>
      <w:r w:rsidR="007F3EC9">
        <w:t>Does Not Apply Here</w:t>
      </w:r>
      <w:bookmarkEnd w:id="26"/>
    </w:p>
    <w:p w14:paraId="786F99F8" w14:textId="04E381C8" w:rsidR="00491821" w:rsidRPr="001A1FD3" w:rsidRDefault="00491821" w:rsidP="00491821">
      <w:pPr>
        <w:spacing w:line="480" w:lineRule="auto"/>
        <w:ind w:firstLine="720"/>
      </w:pPr>
      <w:r w:rsidRPr="001A1FD3">
        <w:t xml:space="preserve">The </w:t>
      </w:r>
      <w:r w:rsidRPr="001A1FD3">
        <w:rPr>
          <w:i/>
        </w:rPr>
        <w:t>Colorado River</w:t>
      </w:r>
      <w:r w:rsidRPr="001A1FD3">
        <w:t xml:space="preserve"> Doctrine, while nominally referred to as a stay, in fact is an “abstention” in which the federal court is “surrendering jurisdiction to the state.” </w:t>
      </w:r>
      <w:bookmarkStart w:id="27" w:name="dabmci_1e456ac780be4c57a03090bcd396e92e"/>
      <w:r w:rsidR="00BF041A">
        <w:fldChar w:fldCharType="begin"/>
      </w:r>
      <w:r w:rsidR="00BF041A" w:rsidRPr="00BF041A">
        <w:instrText xml:space="preserve"> TA \l "</w:instrText>
      </w:r>
      <w:r w:rsidR="00BF041A" w:rsidRPr="00BF041A">
        <w:rPr>
          <w:i/>
          <w:color w:val="000000"/>
        </w:rPr>
        <w:instrText>Marcus v. Twp. of Abington</w:instrText>
      </w:r>
      <w:r w:rsidR="00BF041A" w:rsidRPr="00BF041A">
        <w:rPr>
          <w:color w:val="000000"/>
        </w:rPr>
        <w:instrText>,</w:instrText>
      </w:r>
      <w:r w:rsidR="00BF041A" w:rsidRPr="00BF041A">
        <w:rPr>
          <w:color w:val="000000"/>
        </w:rPr>
        <w:br/>
        <w:instrText>38 F.3d 1357 (3d Cir. 1994)</w:instrText>
      </w:r>
      <w:r w:rsidR="00BF041A" w:rsidRPr="00BF041A">
        <w:instrText xml:space="preserve">" \s "dabmci_1e456ac780be4c57a03090bcd396e92e_4" \c 1 </w:instrText>
      </w:r>
      <w:r w:rsidR="00BF041A">
        <w:fldChar w:fldCharType="end"/>
      </w:r>
      <w:r w:rsidRPr="001A1FD3">
        <w:rPr>
          <w:i/>
        </w:rPr>
        <w:t xml:space="preserve">Marcus v. </w:t>
      </w:r>
      <w:r w:rsidR="00B04E83" w:rsidRPr="001A1FD3">
        <w:rPr>
          <w:i/>
        </w:rPr>
        <w:t>Twp.</w:t>
      </w:r>
      <w:r w:rsidRPr="001A1FD3">
        <w:rPr>
          <w:i/>
        </w:rPr>
        <w:t xml:space="preserve"> of Abington</w:t>
      </w:r>
      <w:r w:rsidRPr="001A1FD3">
        <w:t>, 38 F.3d 1357, 1372 (3d Cir. 1994)</w:t>
      </w:r>
      <w:bookmarkEnd w:id="27"/>
      <w:r w:rsidRPr="001A1FD3">
        <w:t xml:space="preserve">. This is an extraordinary remedy because it “deprive[s] the federal plaintiff of a federal adjudication to which he or she may be entitled.” </w:t>
      </w:r>
      <w:bookmarkStart w:id="28" w:name="dabmci_acfd76884e474a5b8d830d9882f2fa93"/>
      <w:r w:rsidR="00BF041A">
        <w:fldChar w:fldCharType="begin"/>
      </w:r>
      <w:r w:rsidR="00BF041A" w:rsidRPr="00BF041A">
        <w:instrText xml:space="preserve"> TA \l "</w:instrText>
      </w:r>
      <w:r w:rsidR="00BF041A" w:rsidRPr="00BF041A">
        <w:rPr>
          <w:i/>
          <w:color w:val="000000"/>
        </w:rPr>
        <w:instrText>Marcus v. Twp. of Abington</w:instrText>
      </w:r>
      <w:r w:rsidR="00BF041A" w:rsidRPr="00BF041A">
        <w:rPr>
          <w:color w:val="000000"/>
        </w:rPr>
        <w:instrText>,</w:instrText>
      </w:r>
      <w:r w:rsidR="00BF041A" w:rsidRPr="00BF041A">
        <w:rPr>
          <w:color w:val="000000"/>
        </w:rPr>
        <w:br/>
        <w:instrText>38 F.3d 1357 (3d Cir. 1994)</w:instrText>
      </w:r>
      <w:r w:rsidR="00BF041A" w:rsidRPr="00BF041A">
        <w:instrText xml:space="preserve">" \s "dabmci_1e456ac780be4c57a03090bcd396e92e_4" \c 1 </w:instrText>
      </w:r>
      <w:r w:rsidR="00BF041A">
        <w:fldChar w:fldCharType="end"/>
      </w:r>
      <w:r w:rsidRPr="001A1FD3">
        <w:rPr>
          <w:i/>
        </w:rPr>
        <w:t>Id.</w:t>
      </w:r>
      <w:bookmarkEnd w:id="28"/>
      <w:r w:rsidRPr="001A1FD3">
        <w:t xml:space="preserve"> </w:t>
      </w:r>
      <w:r w:rsidR="00B04E83" w:rsidRPr="001A1FD3">
        <w:t xml:space="preserve">The doctrine applies </w:t>
      </w:r>
      <w:r w:rsidRPr="001A1FD3">
        <w:t xml:space="preserve">“only if there is a parallel state court litigation involving </w:t>
      </w:r>
      <w:r w:rsidRPr="001A1FD3">
        <w:lastRenderedPageBreak/>
        <w:t xml:space="preserve">the </w:t>
      </w:r>
      <w:r w:rsidRPr="007F3EC9">
        <w:t>same parties and issues that will completely and finally resolve the</w:t>
      </w:r>
      <w:r w:rsidRPr="001A1FD3">
        <w:t xml:space="preserve"> issues between the parties.” </w:t>
      </w:r>
      <w:bookmarkStart w:id="29" w:name="dabmci_b2a0f12da79c4fd08a4878212d8fb678"/>
      <w:r w:rsidR="00BF041A">
        <w:fldChar w:fldCharType="begin"/>
      </w:r>
      <w:r w:rsidR="00BF041A" w:rsidRPr="00BF041A">
        <w:instrText xml:space="preserve"> TA \l "</w:instrText>
      </w:r>
      <w:r w:rsidR="00BF041A" w:rsidRPr="00BF041A">
        <w:rPr>
          <w:i/>
          <w:color w:val="000000"/>
        </w:rPr>
        <w:instrText>Marcus v. Twp. of Abington</w:instrText>
      </w:r>
      <w:r w:rsidR="00BF041A" w:rsidRPr="00BF041A">
        <w:rPr>
          <w:color w:val="000000"/>
        </w:rPr>
        <w:instrText>,</w:instrText>
      </w:r>
      <w:r w:rsidR="00BF041A" w:rsidRPr="00BF041A">
        <w:rPr>
          <w:color w:val="000000"/>
        </w:rPr>
        <w:br/>
        <w:instrText>38 F.3d 1357 (3d Cir. 1994)</w:instrText>
      </w:r>
      <w:r w:rsidR="00BF041A" w:rsidRPr="00BF041A">
        <w:instrText xml:space="preserve">" \s "dabmci_1e456ac780be4c57a03090bcd396e92e_4" \c 1 </w:instrText>
      </w:r>
      <w:r w:rsidR="00BF041A">
        <w:fldChar w:fldCharType="end"/>
      </w:r>
      <w:r w:rsidRPr="001A1FD3">
        <w:rPr>
          <w:i/>
        </w:rPr>
        <w:t>Id.</w:t>
      </w:r>
      <w:r w:rsidRPr="001A1FD3">
        <w:t xml:space="preserve"> at 1371</w:t>
      </w:r>
      <w:bookmarkEnd w:id="29"/>
      <w:r w:rsidRPr="001A1FD3">
        <w:t xml:space="preserve">. “Accordingly, a ‘decision to invoke </w:t>
      </w:r>
      <w:r w:rsidRPr="001A1FD3">
        <w:rPr>
          <w:i/>
        </w:rPr>
        <w:t>Colorado River</w:t>
      </w:r>
      <w:r w:rsidRPr="001A1FD3">
        <w:t xml:space="preserve"> necessarily contemplates that the federal court will have nothing further to do in resolving any substantive part of the [federal] case.’” </w:t>
      </w:r>
      <w:bookmarkStart w:id="30" w:name="dabmci_4d0698fcb3214ad4a11d47b311a9af08"/>
      <w:r w:rsidR="00BF041A">
        <w:fldChar w:fldCharType="begin"/>
      </w:r>
      <w:r w:rsidR="00BF041A" w:rsidRPr="00BF041A">
        <w:instrText xml:space="preserve"> TA \l "</w:instrText>
      </w:r>
      <w:r w:rsidR="00BF041A" w:rsidRPr="00BF041A">
        <w:rPr>
          <w:i/>
          <w:color w:val="000000"/>
        </w:rPr>
        <w:instrText>Marcus v. Twp. of Abington</w:instrText>
      </w:r>
      <w:r w:rsidR="00BF041A" w:rsidRPr="00BF041A">
        <w:rPr>
          <w:color w:val="000000"/>
        </w:rPr>
        <w:instrText>,</w:instrText>
      </w:r>
      <w:r w:rsidR="00BF041A" w:rsidRPr="00BF041A">
        <w:rPr>
          <w:color w:val="000000"/>
        </w:rPr>
        <w:br/>
        <w:instrText>38 F.3d 1357 (3d Cir. 1994)</w:instrText>
      </w:r>
      <w:r w:rsidR="00BF041A" w:rsidRPr="00BF041A">
        <w:instrText xml:space="preserve">" \s "dabmci_1e456ac780be4c57a03090bcd396e92e_4" \c 1 </w:instrText>
      </w:r>
      <w:r w:rsidR="00BF041A">
        <w:fldChar w:fldCharType="end"/>
      </w:r>
      <w:r w:rsidRPr="001A1FD3">
        <w:rPr>
          <w:i/>
        </w:rPr>
        <w:t>Id.</w:t>
      </w:r>
      <w:bookmarkEnd w:id="30"/>
      <w:r w:rsidRPr="001A1FD3">
        <w:t xml:space="preserve"> (quoting </w:t>
      </w:r>
      <w:bookmarkStart w:id="31" w:name="dabmci_b552b894cb9c492888cd307fa8cf2f5e"/>
      <w:r w:rsidR="00BF041A">
        <w:fldChar w:fldCharType="begin"/>
      </w:r>
      <w:r w:rsidR="00BF041A" w:rsidRPr="00BF041A">
        <w:instrText xml:space="preserve"> TA \l "</w:instrText>
      </w:r>
      <w:r w:rsidR="00BF041A" w:rsidRPr="00BF041A">
        <w:rPr>
          <w:i/>
          <w:color w:val="000000"/>
        </w:rPr>
        <w:instrText>Moses H. Cone Memorial Hosp. v. Mercury Constr. Corp.</w:instrText>
      </w:r>
      <w:r w:rsidR="00BF041A" w:rsidRPr="00BF041A">
        <w:rPr>
          <w:color w:val="000000"/>
        </w:rPr>
        <w:instrText>,</w:instrText>
      </w:r>
      <w:r w:rsidR="00BF041A" w:rsidRPr="00BF041A">
        <w:rPr>
          <w:color w:val="000000"/>
        </w:rPr>
        <w:br/>
        <w:instrText>460 U.S. 1 (1983)</w:instrText>
      </w:r>
      <w:r w:rsidR="00BF041A" w:rsidRPr="00BF041A">
        <w:instrText xml:space="preserve">" \s "dabmci_191b9439705e463c92cc73880d5eb90e_3" \c 1 </w:instrText>
      </w:r>
      <w:r w:rsidR="00BF041A">
        <w:fldChar w:fldCharType="end"/>
      </w:r>
      <w:r w:rsidRPr="001A1FD3">
        <w:rPr>
          <w:i/>
        </w:rPr>
        <w:t>Moses H. Cone Mem</w:t>
      </w:r>
      <w:r w:rsidR="00B04E83" w:rsidRPr="001A1FD3">
        <w:rPr>
          <w:i/>
        </w:rPr>
        <w:t>.</w:t>
      </w:r>
      <w:r w:rsidRPr="001A1FD3">
        <w:rPr>
          <w:i/>
        </w:rPr>
        <w:t xml:space="preserve"> Hosp.</w:t>
      </w:r>
      <w:r w:rsidR="004A2B86">
        <w:t>, 460 U.S. at 28</w:t>
      </w:r>
      <w:bookmarkEnd w:id="31"/>
      <w:r w:rsidR="004A2B86">
        <w:t xml:space="preserve">). In fact, </w:t>
      </w:r>
      <w:r w:rsidR="00480D03">
        <w:t xml:space="preserve">in applying </w:t>
      </w:r>
      <w:r w:rsidR="004A2B86">
        <w:rPr>
          <w:i/>
        </w:rPr>
        <w:t>Colorado River</w:t>
      </w:r>
      <w:r w:rsidR="004A2B86">
        <w:t xml:space="preserve"> </w:t>
      </w:r>
      <w:r w:rsidRPr="001A1FD3">
        <w:t>abstention</w:t>
      </w:r>
      <w:r w:rsidR="00480D03">
        <w:t>, a federal court</w:t>
      </w:r>
      <w:r w:rsidRPr="001A1FD3">
        <w:t xml:space="preserve"> decides that “the state court’s judgment on the issue would be </w:t>
      </w:r>
      <w:r w:rsidRPr="001A1FD3">
        <w:rPr>
          <w:i/>
        </w:rPr>
        <w:t>res judicata</w:t>
      </w:r>
      <w:r w:rsidRPr="001A1FD3">
        <w:t xml:space="preserve">.” </w:t>
      </w:r>
      <w:bookmarkStart w:id="32" w:name="dabmci_9e5ddd29d2474da783ff5446733c17ef"/>
      <w:r w:rsidR="00BF041A">
        <w:fldChar w:fldCharType="begin"/>
      </w:r>
      <w:r w:rsidR="00BF041A" w:rsidRPr="00BF041A">
        <w:instrText xml:space="preserve"> TA \l "</w:instrText>
      </w:r>
      <w:r w:rsidR="00BF041A" w:rsidRPr="00BF041A">
        <w:rPr>
          <w:i/>
          <w:color w:val="000000"/>
        </w:rPr>
        <w:instrText>Michelson v. Citicorp Nat. Servs., Inc.</w:instrText>
      </w:r>
      <w:r w:rsidR="00BF041A" w:rsidRPr="00BF041A">
        <w:rPr>
          <w:color w:val="000000"/>
        </w:rPr>
        <w:instrText>,</w:instrText>
      </w:r>
      <w:r w:rsidR="00BF041A" w:rsidRPr="00BF041A">
        <w:rPr>
          <w:color w:val="000000"/>
        </w:rPr>
        <w:br/>
        <w:instrText>138 F.3d 508 (3d Cir. 1998)</w:instrText>
      </w:r>
      <w:r w:rsidR="00BF041A" w:rsidRPr="00BF041A">
        <w:instrText xml:space="preserve">" \s "dabmci_9e5ddd29d2474da783ff5446733c17ef_2" \c 1 </w:instrText>
      </w:r>
      <w:r w:rsidR="00BF041A">
        <w:fldChar w:fldCharType="end"/>
      </w:r>
      <w:r w:rsidRPr="001A1FD3">
        <w:rPr>
          <w:i/>
        </w:rPr>
        <w:t>Michelson v. Citicorp Nat. Serv</w:t>
      </w:r>
      <w:r w:rsidR="00B04E83" w:rsidRPr="001A1FD3">
        <w:rPr>
          <w:i/>
        </w:rPr>
        <w:t>s.</w:t>
      </w:r>
      <w:r w:rsidRPr="001A1FD3">
        <w:rPr>
          <w:i/>
        </w:rPr>
        <w:t>, Inc.</w:t>
      </w:r>
      <w:r w:rsidRPr="001A1FD3">
        <w:t>, 138 F.3d 508, 514 (3d Cir. 1998)</w:t>
      </w:r>
      <w:bookmarkEnd w:id="32"/>
      <w:r w:rsidRPr="001A1FD3">
        <w:t xml:space="preserve"> (quoting </w:t>
      </w:r>
      <w:bookmarkStart w:id="33" w:name="dabmci_8f72ee6bc6c74fce9cb81bdc3a35593c"/>
      <w:r w:rsidR="00BF041A">
        <w:fldChar w:fldCharType="begin"/>
      </w:r>
      <w:r w:rsidR="00BF041A" w:rsidRPr="00BF041A">
        <w:instrText xml:space="preserve"> TA \l "</w:instrText>
      </w:r>
      <w:r w:rsidR="00BF041A" w:rsidRPr="00BF041A">
        <w:rPr>
          <w:i/>
          <w:color w:val="000000"/>
        </w:rPr>
        <w:instrText>Moses H. Cone Memorial Hosp. v. Mercury Constr. Corp.</w:instrText>
      </w:r>
      <w:r w:rsidR="00BF041A" w:rsidRPr="00BF041A">
        <w:rPr>
          <w:color w:val="000000"/>
        </w:rPr>
        <w:instrText>,</w:instrText>
      </w:r>
      <w:r w:rsidR="00BF041A" w:rsidRPr="00BF041A">
        <w:rPr>
          <w:color w:val="000000"/>
        </w:rPr>
        <w:br/>
        <w:instrText>460 U.S. 1 (1983)</w:instrText>
      </w:r>
      <w:r w:rsidR="00BF041A" w:rsidRPr="00BF041A">
        <w:instrText xml:space="preserve">" \s "dabmci_191b9439705e463c92cc73880d5eb90e_3" \c 1 </w:instrText>
      </w:r>
      <w:r w:rsidR="00BF041A">
        <w:fldChar w:fldCharType="end"/>
      </w:r>
      <w:r w:rsidR="00B04E83" w:rsidRPr="001A1FD3">
        <w:rPr>
          <w:i/>
        </w:rPr>
        <w:t>Moses H. Cone Mem.</w:t>
      </w:r>
      <w:r w:rsidRPr="001A1FD3">
        <w:rPr>
          <w:i/>
        </w:rPr>
        <w:t xml:space="preserve"> Hosp.</w:t>
      </w:r>
      <w:r w:rsidRPr="001A1FD3">
        <w:t>, 460 U.S. at 10</w:t>
      </w:r>
      <w:bookmarkEnd w:id="33"/>
      <w:r w:rsidRPr="001A1FD3">
        <w:t xml:space="preserve">). </w:t>
      </w:r>
      <w:r w:rsidR="004A2B86">
        <w:t xml:space="preserve">“The </w:t>
      </w:r>
      <w:r w:rsidRPr="001A1FD3">
        <w:t xml:space="preserve">doctrine is to be narrowly applied in light of the general principle that ‘federal courts have a strict duty to exercise jurisdiction that is conferred upon them by Congress.’” </w:t>
      </w:r>
      <w:bookmarkStart w:id="34" w:name="dabmci_eb3a92d152d54fb5a38832a3e0a45ae5"/>
      <w:r w:rsidR="00BF041A">
        <w:fldChar w:fldCharType="begin"/>
      </w:r>
      <w:r w:rsidR="00BF041A" w:rsidRPr="00BF041A">
        <w:instrText xml:space="preserve"> TA \l "</w:instrText>
      </w:r>
      <w:r w:rsidR="00BF041A" w:rsidRPr="00BF041A">
        <w:rPr>
          <w:i/>
          <w:color w:val="000000"/>
        </w:rPr>
        <w:instrText>Nationwide Mut. Fire Ins. Co. v. George V. Hamilton, Inc.</w:instrText>
      </w:r>
      <w:r w:rsidR="00BF041A" w:rsidRPr="00BF041A">
        <w:rPr>
          <w:color w:val="000000"/>
        </w:rPr>
        <w:instrText>,</w:instrText>
      </w:r>
      <w:r w:rsidR="00BF041A" w:rsidRPr="00BF041A">
        <w:rPr>
          <w:color w:val="000000"/>
        </w:rPr>
        <w:br/>
        <w:instrText>571 F.3d 299 (3d Cir. 2009)</w:instrText>
      </w:r>
      <w:r w:rsidR="00BF041A" w:rsidRPr="00BF041A">
        <w:instrText xml:space="preserve">" \s "dabmci_eb3a92d152d54fb5a38832a3e0a45ae5_2" \c 1 </w:instrText>
      </w:r>
      <w:r w:rsidR="00BF041A">
        <w:fldChar w:fldCharType="end"/>
      </w:r>
      <w:r w:rsidRPr="001A1FD3">
        <w:rPr>
          <w:i/>
        </w:rPr>
        <w:t>Nationwide Mut. Fire Ins. Co. v. George V. Hamilton, Inc.</w:t>
      </w:r>
      <w:r w:rsidRPr="001A1FD3">
        <w:t>, 571 F.3d 299, 307 (3d Cir. 2009)</w:t>
      </w:r>
      <w:bookmarkEnd w:id="34"/>
      <w:r w:rsidRPr="001A1FD3">
        <w:t xml:space="preserve"> (quoting </w:t>
      </w:r>
      <w:bookmarkStart w:id="35" w:name="dabmci_0ecc00f0f7994193a89c6a937f65a793"/>
      <w:r w:rsidR="00BF041A">
        <w:fldChar w:fldCharType="begin"/>
      </w:r>
      <w:r w:rsidR="00BF041A" w:rsidRPr="00BF041A">
        <w:instrText xml:space="preserve"> TA \l "</w:instrText>
      </w:r>
      <w:r w:rsidR="00BF041A" w:rsidRPr="00BF041A">
        <w:rPr>
          <w:i/>
          <w:color w:val="000000"/>
        </w:rPr>
        <w:instrText>Quackenbush v. Allstate Ins. Co.</w:instrText>
      </w:r>
      <w:r w:rsidR="00BF041A" w:rsidRPr="00BF041A">
        <w:rPr>
          <w:color w:val="000000"/>
        </w:rPr>
        <w:instrText>,</w:instrText>
      </w:r>
      <w:r w:rsidR="00BF041A" w:rsidRPr="00BF041A">
        <w:rPr>
          <w:color w:val="000000"/>
        </w:rPr>
        <w:br/>
        <w:instrText>517 U.S. 706 (1996)</w:instrText>
      </w:r>
      <w:r w:rsidR="00BF041A" w:rsidRPr="00BF041A">
        <w:instrText xml:space="preserve">" \s "dabmci_0ecc00f0f7994193a89c6a937f65a793_1" \c 1 </w:instrText>
      </w:r>
      <w:r w:rsidR="00BF041A">
        <w:fldChar w:fldCharType="end"/>
      </w:r>
      <w:r w:rsidRPr="001A1FD3">
        <w:rPr>
          <w:i/>
        </w:rPr>
        <w:t>Quackenbush v. Allstate Ins. Co.</w:t>
      </w:r>
      <w:r w:rsidRPr="001A1FD3">
        <w:t>, 517 U.S. 706, 716 (1996)</w:t>
      </w:r>
      <w:bookmarkEnd w:id="35"/>
      <w:r w:rsidRPr="001A1FD3">
        <w:t>).</w:t>
      </w:r>
    </w:p>
    <w:p w14:paraId="6C72AD63" w14:textId="2D676D3C" w:rsidR="00491821" w:rsidRPr="004A2B86" w:rsidRDefault="004A2B86" w:rsidP="00491821">
      <w:pPr>
        <w:spacing w:line="480" w:lineRule="auto"/>
        <w:ind w:firstLine="720"/>
      </w:pPr>
      <w:r>
        <w:t>Thus,</w:t>
      </w:r>
      <w:r w:rsidR="00491821" w:rsidRPr="001A1FD3">
        <w:t xml:space="preserve"> before the Court even considers the elements of abstention under the </w:t>
      </w:r>
      <w:r w:rsidR="00491821" w:rsidRPr="001A1FD3">
        <w:rPr>
          <w:i/>
        </w:rPr>
        <w:t>Colorado River</w:t>
      </w:r>
      <w:r w:rsidR="00491821" w:rsidRPr="001A1FD3">
        <w:t xml:space="preserve"> Doctrine, the Court should disregard NLC’s application because the state court </w:t>
      </w:r>
      <w:r>
        <w:t xml:space="preserve">action </w:t>
      </w:r>
      <w:r w:rsidR="00491821" w:rsidRPr="001A1FD3">
        <w:t>does not involve the same parties</w:t>
      </w:r>
      <w:r w:rsidR="00534304" w:rsidRPr="001A1FD3">
        <w:t xml:space="preserve">, or even </w:t>
      </w:r>
      <w:r w:rsidR="00534304" w:rsidRPr="001A1FD3">
        <w:lastRenderedPageBreak/>
        <w:t xml:space="preserve">the same </w:t>
      </w:r>
      <w:r w:rsidR="00885246" w:rsidRPr="001A1FD3">
        <w:t>statute</w:t>
      </w:r>
      <w:r w:rsidR="00534304" w:rsidRPr="001A1FD3">
        <w:t>,</w:t>
      </w:r>
      <w:r w:rsidR="00491821" w:rsidRPr="001A1FD3">
        <w:t xml:space="preserve"> </w:t>
      </w:r>
      <w:r>
        <w:t xml:space="preserve">so there </w:t>
      </w:r>
      <w:r w:rsidR="00491821" w:rsidRPr="001A1FD3">
        <w:t>is no chance that the state court matter will completely and finally resolve the dispute between the United States and NLC.</w:t>
      </w:r>
      <w:r>
        <w:t xml:space="preserve"> </w:t>
      </w:r>
      <w:r>
        <w:rPr>
          <w:i/>
        </w:rPr>
        <w:t xml:space="preserve">See </w:t>
      </w:r>
      <w:bookmarkStart w:id="36" w:name="dabmci_dc456f1e02be40889f65b0abb96c3ee3"/>
      <w:r w:rsidR="00BF041A">
        <w:rPr>
          <w:i/>
        </w:rPr>
        <w:fldChar w:fldCharType="begin"/>
      </w:r>
      <w:r w:rsidR="00BF041A" w:rsidRPr="00BF041A">
        <w:instrText xml:space="preserve"> TA \l "</w:instrText>
      </w:r>
      <w:r w:rsidR="00BF041A" w:rsidRPr="00BF041A">
        <w:rPr>
          <w:i/>
          <w:color w:val="000000"/>
        </w:rPr>
        <w:instrText>Marcus</w:instrText>
      </w:r>
      <w:r w:rsidR="00BF041A" w:rsidRPr="00BF041A">
        <w:rPr>
          <w:color w:val="000000"/>
        </w:rPr>
        <w:instrText>,</w:instrText>
      </w:r>
      <w:r w:rsidR="00BF041A" w:rsidRPr="00BF041A">
        <w:rPr>
          <w:color w:val="000000"/>
        </w:rPr>
        <w:br/>
        <w:instrText>38 F.3d</w:instrText>
      </w:r>
      <w:r w:rsidR="00BF041A" w:rsidRPr="00BF041A">
        <w:instrText xml:space="preserve">" \s "dabmci_dc456f1e02be40889f65b0abb96c3ee3_1" \c 1 </w:instrText>
      </w:r>
      <w:r w:rsidR="00BF041A">
        <w:rPr>
          <w:i/>
        </w:rPr>
        <w:fldChar w:fldCharType="end"/>
      </w:r>
      <w:r>
        <w:rPr>
          <w:i/>
        </w:rPr>
        <w:t>Marcus</w:t>
      </w:r>
      <w:r>
        <w:t>, 38 F.3d at 1371</w:t>
      </w:r>
      <w:bookmarkEnd w:id="36"/>
      <w:r>
        <w:t>.</w:t>
      </w:r>
    </w:p>
    <w:p w14:paraId="06729732" w14:textId="7606A5AC" w:rsidR="00491821" w:rsidRPr="001A1FD3" w:rsidRDefault="009B03CD" w:rsidP="00C238B1">
      <w:pPr>
        <w:spacing w:line="480" w:lineRule="auto"/>
        <w:ind w:firstLine="720"/>
      </w:pPr>
      <w:r>
        <w:t xml:space="preserve">In arguing for abstention, </w:t>
      </w:r>
      <w:r w:rsidR="00491821" w:rsidRPr="001A1FD3">
        <w:t xml:space="preserve">NLC </w:t>
      </w:r>
      <w:r>
        <w:t xml:space="preserve">wrongly </w:t>
      </w:r>
      <w:r w:rsidR="00491821" w:rsidRPr="001A1FD3">
        <w:t>conflate</w:t>
      </w:r>
      <w:r>
        <w:t>s</w:t>
      </w:r>
      <w:r w:rsidR="00491821" w:rsidRPr="001A1FD3">
        <w:t xml:space="preserve"> the United States and M.M. and her family as the “Plaintiff” in this action. </w:t>
      </w:r>
      <w:r w:rsidR="00B04E83" w:rsidRPr="001A1FD3">
        <w:t xml:space="preserve">For instance, NLC states that </w:t>
      </w:r>
      <w:r w:rsidR="00491821" w:rsidRPr="001A1FD3">
        <w:t>this action was “filed on behalf of the same purportedly aggrieved parties, M.M. and M.M.’s parents</w:t>
      </w:r>
      <w:r w:rsidR="00B04E83" w:rsidRPr="001A1FD3">
        <w:t>,</w:t>
      </w:r>
      <w:r w:rsidR="00491821" w:rsidRPr="001A1FD3">
        <w:t>”</w:t>
      </w:r>
      <w:r w:rsidR="00B04E83" w:rsidRPr="001A1FD3">
        <w:t xml:space="preserve"> that are involved in the state court proceeding. </w:t>
      </w:r>
      <w:r w:rsidR="00D24D8B" w:rsidRPr="001A1FD3">
        <w:t>NLC</w:t>
      </w:r>
      <w:r w:rsidR="00B04E83" w:rsidRPr="001A1FD3">
        <w:t xml:space="preserve"> Br. at</w:t>
      </w:r>
      <w:r w:rsidR="00491821" w:rsidRPr="001A1FD3">
        <w:t xml:space="preserve"> 11.</w:t>
      </w:r>
      <w:r w:rsidR="00491821" w:rsidRPr="001A1FD3">
        <w:rPr>
          <w:rStyle w:val="FootnoteReference"/>
        </w:rPr>
        <w:footnoteReference w:id="3"/>
      </w:r>
      <w:r w:rsidR="00491821" w:rsidRPr="001A1FD3">
        <w:t xml:space="preserve"> In fact, the United States is the plaintiff </w:t>
      </w:r>
      <w:r w:rsidR="00B04E83" w:rsidRPr="001A1FD3">
        <w:t xml:space="preserve">here </w:t>
      </w:r>
      <w:r w:rsidR="00491821" w:rsidRPr="001A1FD3">
        <w:t xml:space="preserve">and is not a party to the state litigation. </w:t>
      </w:r>
      <w:r w:rsidR="00C238B1">
        <w:t>And t</w:t>
      </w:r>
      <w:r w:rsidR="00491821" w:rsidRPr="001A1FD3">
        <w:t>his action was not filed on behalf of M.M. or her parents, it was filed on behalf of th</w:t>
      </w:r>
      <w:r w:rsidR="00C238B1">
        <w:t>e United States</w:t>
      </w:r>
      <w:r w:rsidR="00491821" w:rsidRPr="001A1FD3">
        <w:t xml:space="preserve"> </w:t>
      </w:r>
      <w:r w:rsidR="00C238B1">
        <w:t xml:space="preserve">to enforce </w:t>
      </w:r>
      <w:r w:rsidR="00491821" w:rsidRPr="001A1FD3">
        <w:t xml:space="preserve">the ADA. </w:t>
      </w:r>
      <w:bookmarkStart w:id="37" w:name="dabmci_64465b8bc3fd403db536e4757b55dc3f"/>
      <w:r w:rsidR="00BF041A">
        <w:fldChar w:fldCharType="begin"/>
      </w:r>
      <w:r w:rsidR="00BF041A" w:rsidRPr="00BF041A">
        <w:instrText xml:space="preserve"> TA \l "</w:instrText>
      </w:r>
      <w:r w:rsidR="00BF041A" w:rsidRPr="00BF041A">
        <w:rPr>
          <w:color w:val="000000"/>
        </w:rPr>
        <w:instrText>42 U.S.C. § 12188(b)</w:instrText>
      </w:r>
      <w:r w:rsidR="00BF041A" w:rsidRPr="00BF041A">
        <w:instrText xml:space="preserve">" \s "dabmci_64465b8bc3fd403db536e4757b55dc3f_1" \c 2 </w:instrText>
      </w:r>
      <w:r w:rsidR="00BF041A">
        <w:fldChar w:fldCharType="end"/>
      </w:r>
      <w:r w:rsidR="00491821" w:rsidRPr="001A1FD3">
        <w:t>42 U.S.C. § 12188(b)</w:t>
      </w:r>
      <w:bookmarkEnd w:id="37"/>
      <w:r w:rsidR="00491821" w:rsidRPr="001A1FD3">
        <w:t xml:space="preserve">. </w:t>
      </w:r>
      <w:r w:rsidR="003636CD" w:rsidRPr="003636CD">
        <w:t>In the state action, the plaintiff is Craig Sashihara, Director of the New Jersey Division on Civil Rights.</w:t>
      </w:r>
      <w:r w:rsidR="003636CD">
        <w:t xml:space="preserve"> </w:t>
      </w:r>
      <w:r>
        <w:t xml:space="preserve">The </w:t>
      </w:r>
      <w:r>
        <w:lastRenderedPageBreak/>
        <w:t xml:space="preserve">United States has no role in the state action and New Jersey has no role in </w:t>
      </w:r>
      <w:r w:rsidR="00C238B1">
        <w:t>this</w:t>
      </w:r>
      <w:r>
        <w:t xml:space="preserve"> action. T</w:t>
      </w:r>
      <w:r w:rsidR="003636CD" w:rsidRPr="003636CD">
        <w:t xml:space="preserve">he United States cannot be bound as a matter of </w:t>
      </w:r>
      <w:r w:rsidR="003636CD" w:rsidRPr="003636CD">
        <w:rPr>
          <w:i/>
        </w:rPr>
        <w:t>res judicata</w:t>
      </w:r>
      <w:r w:rsidR="003636CD" w:rsidRPr="003636CD">
        <w:t xml:space="preserve"> </w:t>
      </w:r>
      <w:r w:rsidR="00C238B1">
        <w:t xml:space="preserve">here </w:t>
      </w:r>
      <w:r w:rsidR="003636CD" w:rsidRPr="003636CD">
        <w:t xml:space="preserve">by the decisions of a state court judge in an action in which it is not a party and which will be decided pursuant to </w:t>
      </w:r>
      <w:r w:rsidR="00AE7B11">
        <w:t xml:space="preserve">state law. </w:t>
      </w:r>
      <w:r w:rsidR="00491821" w:rsidRPr="001A1FD3">
        <w:t xml:space="preserve">Therefore, </w:t>
      </w:r>
      <w:r w:rsidR="00C238B1">
        <w:t xml:space="preserve">based on the </w:t>
      </w:r>
      <w:r w:rsidR="00491821" w:rsidRPr="001A1FD3">
        <w:t xml:space="preserve">difference in the parties alone, </w:t>
      </w:r>
      <w:r w:rsidR="00C238B1">
        <w:t xml:space="preserve">this Court should reject NLC’s </w:t>
      </w:r>
      <w:r w:rsidR="00491821" w:rsidRPr="001A1FD3">
        <w:rPr>
          <w:i/>
        </w:rPr>
        <w:t xml:space="preserve">Colorado River </w:t>
      </w:r>
      <w:r w:rsidR="00C238B1" w:rsidRPr="00C238B1">
        <w:t>argu</w:t>
      </w:r>
      <w:r w:rsidR="00C238B1">
        <w:t>m</w:t>
      </w:r>
      <w:r w:rsidR="00C238B1" w:rsidRPr="00C238B1">
        <w:t>ent</w:t>
      </w:r>
      <w:r w:rsidR="00C238B1">
        <w:rPr>
          <w:i/>
        </w:rPr>
        <w:t>.</w:t>
      </w:r>
    </w:p>
    <w:p w14:paraId="751EFFC0" w14:textId="097E1C9E" w:rsidR="00491821" w:rsidRPr="001A1FD3" w:rsidRDefault="00491821" w:rsidP="00491821">
      <w:pPr>
        <w:spacing w:line="480" w:lineRule="auto"/>
        <w:ind w:firstLine="720"/>
      </w:pPr>
      <w:r w:rsidRPr="001A1FD3">
        <w:t>Further, as NLC admits, it “owns and operates private school</w:t>
      </w:r>
      <w:r w:rsidR="00D24D8B" w:rsidRPr="001A1FD3">
        <w:t>s across the country.” NLC Br.</w:t>
      </w:r>
      <w:r w:rsidRPr="001A1FD3">
        <w:t xml:space="preserve"> at 4. This action concerns NLC’s treatment of </w:t>
      </w:r>
      <w:r w:rsidR="00C1044D">
        <w:t xml:space="preserve">a </w:t>
      </w:r>
      <w:r w:rsidRPr="001A1FD3">
        <w:t>student</w:t>
      </w:r>
      <w:r w:rsidR="00E03F16" w:rsidRPr="001A1FD3">
        <w:t xml:space="preserve"> with a disability and </w:t>
      </w:r>
      <w:r w:rsidR="0079581D">
        <w:t>NLC’s</w:t>
      </w:r>
      <w:r w:rsidR="00E03F16" w:rsidRPr="001A1FD3">
        <w:t xml:space="preserve"> </w:t>
      </w:r>
      <w:r w:rsidR="002D1E2E">
        <w:t>“</w:t>
      </w:r>
      <w:r w:rsidR="00E03F16" w:rsidRPr="001A1FD3">
        <w:t>corporate policy</w:t>
      </w:r>
      <w:r w:rsidR="002D1E2E">
        <w:t>”</w:t>
      </w:r>
      <w:r w:rsidR="00E03F16" w:rsidRPr="001A1FD3">
        <w:t xml:space="preserve"> that served to push M</w:t>
      </w:r>
      <w:r w:rsidR="009B03CD">
        <w:t>.</w:t>
      </w:r>
      <w:r w:rsidR="00E03F16" w:rsidRPr="001A1FD3">
        <w:t>M</w:t>
      </w:r>
      <w:r w:rsidR="009B03CD">
        <w:t>.</w:t>
      </w:r>
      <w:r w:rsidR="00E03F16" w:rsidRPr="001A1FD3">
        <w:t xml:space="preserve"> </w:t>
      </w:r>
      <w:r w:rsidR="00C1044D">
        <w:t xml:space="preserve">out of </w:t>
      </w:r>
      <w:r w:rsidR="00E03F16" w:rsidRPr="001A1FD3">
        <w:t>Chesterbrook</w:t>
      </w:r>
      <w:r w:rsidR="0079581D">
        <w:t xml:space="preserve">. </w:t>
      </w:r>
      <w:r w:rsidR="002D1E2E">
        <w:t xml:space="preserve">Compl. ¶ 19. </w:t>
      </w:r>
      <w:r w:rsidRPr="001A1FD3">
        <w:t xml:space="preserve">If it is </w:t>
      </w:r>
      <w:r w:rsidR="00E03F16" w:rsidRPr="001A1FD3">
        <w:t xml:space="preserve">indeed </w:t>
      </w:r>
      <w:r w:rsidRPr="001A1FD3">
        <w:t xml:space="preserve">NLC’s </w:t>
      </w:r>
      <w:r w:rsidR="00E03F16" w:rsidRPr="001A1FD3">
        <w:t xml:space="preserve">national </w:t>
      </w:r>
      <w:r w:rsidRPr="001A1FD3">
        <w:t>policy to expel three-year-old children with disabilities because the particular classroom to which the child is assigned</w:t>
      </w:r>
      <w:r w:rsidR="00C1044D">
        <w:t xml:space="preserve"> </w:t>
      </w:r>
      <w:r w:rsidR="00814588" w:rsidRPr="001A1FD3">
        <w:t>does not provide diapering services</w:t>
      </w:r>
      <w:r w:rsidR="00814588">
        <w:t xml:space="preserve"> </w:t>
      </w:r>
      <w:r w:rsidR="00C1044D">
        <w:t>(</w:t>
      </w:r>
      <w:r w:rsidR="00A40C9D" w:rsidRPr="001A1FD3">
        <w:t>as</w:t>
      </w:r>
      <w:r w:rsidRPr="001A1FD3">
        <w:t xml:space="preserve"> opposed to the classroom a few feet down the hall</w:t>
      </w:r>
      <w:r w:rsidR="00C1044D">
        <w:t>)</w:t>
      </w:r>
      <w:r w:rsidRPr="001A1FD3">
        <w:t xml:space="preserve">, then the United States will seek discovery about and a remedy to that practice at NLC locations “across the country.” </w:t>
      </w:r>
      <w:r w:rsidR="0079581D">
        <w:t>T</w:t>
      </w:r>
      <w:r w:rsidR="0079581D" w:rsidRPr="001A1FD3">
        <w:t>herefore</w:t>
      </w:r>
      <w:r w:rsidR="0079581D">
        <w:t>,</w:t>
      </w:r>
      <w:r w:rsidR="0079581D" w:rsidRPr="001A1FD3">
        <w:t xml:space="preserve"> </w:t>
      </w:r>
      <w:r w:rsidR="0079581D">
        <w:t xml:space="preserve">NLC’s treatment of similarly </w:t>
      </w:r>
      <w:r w:rsidR="0079581D" w:rsidRPr="001A1FD3">
        <w:t xml:space="preserve">situated students at all of </w:t>
      </w:r>
      <w:r w:rsidR="0079581D" w:rsidRPr="001A1FD3">
        <w:lastRenderedPageBreak/>
        <w:t>their locations is relevant.</w:t>
      </w:r>
      <w:r w:rsidR="0079581D">
        <w:rPr>
          <w:rStyle w:val="FootnoteReference"/>
        </w:rPr>
        <w:footnoteReference w:id="4"/>
      </w:r>
      <w:r w:rsidR="0079581D">
        <w:t xml:space="preserve"> </w:t>
      </w:r>
      <w:r w:rsidRPr="001A1FD3">
        <w:t>The reach of the state litigation is restricted to boundaries of that court’s limited jurisdiction (</w:t>
      </w:r>
      <w:r w:rsidRPr="001A1FD3">
        <w:rPr>
          <w:i/>
        </w:rPr>
        <w:t>i.e.</w:t>
      </w:r>
      <w:r w:rsidRPr="001A1FD3">
        <w:t>, New Jersey). Therefore, it is impossible for the state litigation to completely and finally resolve the dispute between the United States and NLC.</w:t>
      </w:r>
    </w:p>
    <w:p w14:paraId="4146577F" w14:textId="1568132C" w:rsidR="00491821" w:rsidRPr="001A1FD3" w:rsidRDefault="00491821" w:rsidP="00491821">
      <w:pPr>
        <w:spacing w:line="480" w:lineRule="auto"/>
        <w:ind w:firstLine="720"/>
      </w:pPr>
      <w:r w:rsidRPr="001A1FD3">
        <w:t xml:space="preserve">Moreover, NLC’s request for this Court’s abstention from and dismissal of this action fails to meet the elements required for such an abstention. In order to invoke the extraordinary measure of </w:t>
      </w:r>
      <w:r w:rsidR="00390E85">
        <w:t xml:space="preserve">abstention and dismissal </w:t>
      </w:r>
      <w:r w:rsidRPr="001A1FD3">
        <w:t xml:space="preserve">pursuant to the </w:t>
      </w:r>
      <w:r w:rsidRPr="001A1FD3">
        <w:rPr>
          <w:i/>
        </w:rPr>
        <w:t>Colorado River</w:t>
      </w:r>
      <w:r w:rsidRPr="001A1FD3">
        <w:t xml:space="preserve"> Doctrine, </w:t>
      </w:r>
      <w:r w:rsidR="00390E85">
        <w:t xml:space="preserve">NLC must </w:t>
      </w:r>
      <w:r w:rsidR="009B03CD">
        <w:t xml:space="preserve">prove </w:t>
      </w:r>
      <w:r w:rsidRPr="001A1FD3">
        <w:t xml:space="preserve">the </w:t>
      </w:r>
      <w:r w:rsidR="009B03CD">
        <w:t xml:space="preserve">doctrine’s </w:t>
      </w:r>
      <w:r w:rsidRPr="001A1FD3">
        <w:t xml:space="preserve">“essential elements”: (1) </w:t>
      </w:r>
      <w:r w:rsidR="009B03CD">
        <w:t xml:space="preserve">that the state action involves </w:t>
      </w:r>
      <w:r w:rsidRPr="001A1FD3">
        <w:t>“parallel parties and parallel claims as well as a realistic possibility that the federal action would thereafter be precluded</w:t>
      </w:r>
      <w:r w:rsidR="00B04E83" w:rsidRPr="001A1FD3">
        <w:t>,</w:t>
      </w:r>
      <w:r w:rsidRPr="001A1FD3">
        <w:t xml:space="preserve">” </w:t>
      </w:r>
      <w:bookmarkStart w:id="38" w:name="dabmci_836a52f3fdc74d828f2fdf0f520beefc"/>
      <w:r w:rsidR="00BF041A">
        <w:fldChar w:fldCharType="begin"/>
      </w:r>
      <w:r w:rsidR="00BF041A" w:rsidRPr="00BF041A">
        <w:instrText xml:space="preserve"> TA \l "</w:instrText>
      </w:r>
      <w:r w:rsidR="00BF041A" w:rsidRPr="00BF041A">
        <w:rPr>
          <w:i/>
          <w:color w:val="000000"/>
        </w:rPr>
        <w:instrText>Michelson v. Citicorp Nat. Servs., Inc.</w:instrText>
      </w:r>
      <w:r w:rsidR="00BF041A" w:rsidRPr="00BF041A">
        <w:rPr>
          <w:color w:val="000000"/>
        </w:rPr>
        <w:instrText>,</w:instrText>
      </w:r>
      <w:r w:rsidR="00BF041A" w:rsidRPr="00BF041A">
        <w:rPr>
          <w:color w:val="000000"/>
        </w:rPr>
        <w:br/>
        <w:instrText>138 F.3d 508 (3d Cir. 1998)</w:instrText>
      </w:r>
      <w:r w:rsidR="00BF041A" w:rsidRPr="00BF041A">
        <w:instrText xml:space="preserve">" \s "dabmci_9e5ddd29d2474da783ff5446733c17ef_2" \c 1 </w:instrText>
      </w:r>
      <w:r w:rsidR="00BF041A">
        <w:fldChar w:fldCharType="end"/>
      </w:r>
      <w:r w:rsidRPr="001A1FD3">
        <w:rPr>
          <w:i/>
        </w:rPr>
        <w:t>Michelson</w:t>
      </w:r>
      <w:r w:rsidRPr="001A1FD3">
        <w:t>, 138 F.3d at 515</w:t>
      </w:r>
      <w:bookmarkEnd w:id="38"/>
      <w:r w:rsidRPr="001A1FD3">
        <w:t xml:space="preserve"> (citing </w:t>
      </w:r>
      <w:bookmarkStart w:id="39" w:name="dabmci_987577b8e0fe47b7a53f6391a1fafcfd"/>
      <w:r w:rsidR="00BF041A">
        <w:fldChar w:fldCharType="begin"/>
      </w:r>
      <w:r w:rsidR="00BF041A" w:rsidRPr="00BF041A">
        <w:instrText xml:space="preserve"> TA \l "</w:instrText>
      </w:r>
      <w:r w:rsidR="00BF041A" w:rsidRPr="00BF041A">
        <w:rPr>
          <w:i/>
          <w:color w:val="000000"/>
        </w:rPr>
        <w:instrText>Wilton v. Sevens Falls Co.</w:instrText>
      </w:r>
      <w:r w:rsidR="00BF041A" w:rsidRPr="00BF041A">
        <w:rPr>
          <w:color w:val="000000"/>
        </w:rPr>
        <w:instrText>,</w:instrText>
      </w:r>
      <w:r w:rsidR="00BF041A" w:rsidRPr="00BF041A">
        <w:rPr>
          <w:color w:val="000000"/>
        </w:rPr>
        <w:br/>
        <w:instrText>515 U.S. 277 (1995)</w:instrText>
      </w:r>
      <w:r w:rsidR="00BF041A" w:rsidRPr="00BF041A">
        <w:instrText xml:space="preserve">" \s "dabmci_987577b8e0fe47b7a53f6391a1fafcfd_1" \c 1 </w:instrText>
      </w:r>
      <w:r w:rsidR="00BF041A">
        <w:fldChar w:fldCharType="end"/>
      </w:r>
      <w:r w:rsidRPr="001A1FD3">
        <w:rPr>
          <w:i/>
        </w:rPr>
        <w:t>Wilton v. Sevens Falls Co.</w:t>
      </w:r>
      <w:r w:rsidRPr="001A1FD3">
        <w:t>, 515 U.S. 277 (1995)</w:t>
      </w:r>
      <w:bookmarkEnd w:id="39"/>
      <w:r w:rsidRPr="001A1FD3">
        <w:t xml:space="preserve">, and </w:t>
      </w:r>
      <w:r w:rsidRPr="001A1FD3">
        <w:lastRenderedPageBreak/>
        <w:t xml:space="preserve">(2) </w:t>
      </w:r>
      <w:r w:rsidR="009B03CD">
        <w:t xml:space="preserve">that </w:t>
      </w:r>
      <w:r w:rsidRPr="001A1FD3">
        <w:t>there are extraordinary circumstances that merit the stay</w:t>
      </w:r>
      <w:r w:rsidR="00814588">
        <w:t xml:space="preserve">. </w:t>
      </w:r>
      <w:bookmarkStart w:id="40" w:name="dabmci_5fa31bdddae843fbad0589e9de8068b8"/>
      <w:r w:rsidR="00BF041A">
        <w:fldChar w:fldCharType="begin"/>
      </w:r>
      <w:r w:rsidR="00BF041A" w:rsidRPr="00BF041A">
        <w:instrText xml:space="preserve"> TA \l "</w:instrText>
      </w:r>
      <w:r w:rsidR="00BF041A" w:rsidRPr="00BF041A">
        <w:rPr>
          <w:i/>
          <w:color w:val="000000"/>
        </w:rPr>
        <w:instrText>Nationwide Mut. Fire Ins. Co. v. George V. Hamilton, Inc.</w:instrText>
      </w:r>
      <w:r w:rsidR="00BF041A" w:rsidRPr="00BF041A">
        <w:rPr>
          <w:color w:val="000000"/>
        </w:rPr>
        <w:instrText>,</w:instrText>
      </w:r>
      <w:r w:rsidR="00BF041A" w:rsidRPr="00BF041A">
        <w:rPr>
          <w:color w:val="000000"/>
        </w:rPr>
        <w:br/>
        <w:instrText>571 F.3d 299 (3d Cir. 2009)</w:instrText>
      </w:r>
      <w:r w:rsidR="00BF041A" w:rsidRPr="00BF041A">
        <w:instrText xml:space="preserve">" \s "dabmci_eb3a92d152d54fb5a38832a3e0a45ae5_2" \c 1 </w:instrText>
      </w:r>
      <w:r w:rsidR="00BF041A">
        <w:fldChar w:fldCharType="end"/>
      </w:r>
      <w:r w:rsidRPr="001A1FD3">
        <w:rPr>
          <w:i/>
        </w:rPr>
        <w:t>Nationwide Mut. Fire Ins. Co.</w:t>
      </w:r>
      <w:r w:rsidRPr="001A1FD3">
        <w:t>, 571 F.3d 299</w:t>
      </w:r>
      <w:bookmarkEnd w:id="40"/>
      <w:r w:rsidRPr="001A1FD3">
        <w:t>. Neither of these elements are met.</w:t>
      </w:r>
    </w:p>
    <w:p w14:paraId="42976898" w14:textId="666938D4" w:rsidR="00491821" w:rsidRPr="001A1FD3" w:rsidRDefault="00491821" w:rsidP="009B03CD">
      <w:pPr>
        <w:spacing w:line="480" w:lineRule="auto"/>
        <w:ind w:firstLine="720"/>
      </w:pPr>
      <w:r w:rsidRPr="001A1FD3">
        <w:t xml:space="preserve">First, as discussed above, there are not parallel parties </w:t>
      </w:r>
      <w:r w:rsidR="008D4716">
        <w:t xml:space="preserve">or parallel claims </w:t>
      </w:r>
      <w:r w:rsidRPr="001A1FD3">
        <w:t xml:space="preserve">in the state and federal actions. </w:t>
      </w:r>
      <w:r w:rsidR="00814588">
        <w:t>B</w:t>
      </w:r>
      <w:r w:rsidRPr="001A1FD3">
        <w:t xml:space="preserve">oth sovereigns have the authority and obligation to </w:t>
      </w:r>
      <w:r w:rsidR="00B04E83" w:rsidRPr="001A1FD3">
        <w:t>enforce the civil rights law</w:t>
      </w:r>
      <w:r w:rsidR="00814588">
        <w:t>s</w:t>
      </w:r>
      <w:r w:rsidR="00B04E83" w:rsidRPr="001A1FD3">
        <w:t xml:space="preserve"> pre</w:t>
      </w:r>
      <w:r w:rsidRPr="001A1FD3">
        <w:t xml:space="preserve">scribed within their respective jurisdictions. Further, while there is some similarity between the ADA and the New Jersey Law Against Discrimination (“LAD”), the statutes are not duplicative. For example, </w:t>
      </w:r>
      <w:r w:rsidR="00874B99" w:rsidRPr="001A1FD3">
        <w:t xml:space="preserve">unlike the LAD, </w:t>
      </w:r>
      <w:r w:rsidRPr="001A1FD3">
        <w:t>the ADA allows for civil penalties</w:t>
      </w:r>
      <w:r w:rsidR="00874B99" w:rsidRPr="001A1FD3">
        <w:t xml:space="preserve">, including </w:t>
      </w:r>
      <w:r w:rsidRPr="001A1FD3">
        <w:t>enhanced penalties for “subsequent violations” of the ADA.</w:t>
      </w:r>
      <w:r w:rsidR="008D4716">
        <w:t xml:space="preserve"> </w:t>
      </w:r>
      <w:r w:rsidR="00874B99" w:rsidRPr="001A1FD3">
        <w:t>42 U.</w:t>
      </w:r>
      <w:r w:rsidR="008D4716">
        <w:t>S.C. § 12188(b)</w:t>
      </w:r>
      <w:r w:rsidR="00874B99" w:rsidRPr="001A1FD3">
        <w:t>(2)(C)(i-ii)</w:t>
      </w:r>
      <w:r w:rsidR="00874B99" w:rsidRPr="001A1FD3">
        <w:rPr>
          <w:i/>
        </w:rPr>
        <w:t>.</w:t>
      </w:r>
      <w:r w:rsidRPr="001A1FD3">
        <w:t xml:space="preserve"> </w:t>
      </w:r>
      <w:r w:rsidR="008D4716">
        <w:t>T</w:t>
      </w:r>
      <w:r w:rsidRPr="001A1FD3">
        <w:t xml:space="preserve">he state court cannot </w:t>
      </w:r>
      <w:r w:rsidR="00480D03">
        <w:t>levy</w:t>
      </w:r>
      <w:r w:rsidRPr="001A1FD3">
        <w:t xml:space="preserve"> a</w:t>
      </w:r>
      <w:r w:rsidR="00480D03">
        <w:t>n ADA</w:t>
      </w:r>
      <w:r w:rsidRPr="001A1FD3">
        <w:t xml:space="preserve"> civil penalty, </w:t>
      </w:r>
      <w:r w:rsidR="008D4716">
        <w:t xml:space="preserve">and </w:t>
      </w:r>
      <w:r w:rsidRPr="001A1FD3">
        <w:t xml:space="preserve">any decision from </w:t>
      </w:r>
      <w:r w:rsidR="00480D03">
        <w:t xml:space="preserve">the state court </w:t>
      </w:r>
      <w:r w:rsidRPr="001A1FD3">
        <w:t>cannot be considered in determining any future enhanced civil penalties.</w:t>
      </w:r>
      <w:r w:rsidR="00B04E83" w:rsidRPr="001A1FD3">
        <w:t xml:space="preserve"> Moreover, the holding of the state court would in no way be binding upon the United States.</w:t>
      </w:r>
    </w:p>
    <w:p w14:paraId="459477AB" w14:textId="2AD7BD7A" w:rsidR="00491821" w:rsidRPr="001A1FD3" w:rsidRDefault="00491821" w:rsidP="00491821">
      <w:pPr>
        <w:spacing w:line="480" w:lineRule="auto"/>
        <w:ind w:firstLine="720"/>
      </w:pPr>
      <w:r w:rsidRPr="001A1FD3">
        <w:lastRenderedPageBreak/>
        <w:t>NLC argues that New Jersey courts often rely upon federal anti</w:t>
      </w:r>
      <w:r w:rsidR="00D24D8B" w:rsidRPr="001A1FD3">
        <w:t>-</w:t>
      </w:r>
      <w:r w:rsidRPr="001A1FD3">
        <w:t xml:space="preserve">discrimination statutes for guidance in construing the LAD. </w:t>
      </w:r>
      <w:r w:rsidR="00D24D8B" w:rsidRPr="001A1FD3">
        <w:t>NLC Br.</w:t>
      </w:r>
      <w:r w:rsidRPr="001A1FD3">
        <w:t xml:space="preserve"> at 8. This argument, however, </w:t>
      </w:r>
      <w:r w:rsidR="00814588">
        <w:t>provides</w:t>
      </w:r>
      <w:r w:rsidRPr="001A1FD3">
        <w:t xml:space="preserve"> no basis for the United States’ enforcement of the ADA to be bound by New Jersey state court decisions limited to construing the LAD</w:t>
      </w:r>
      <w:r w:rsidR="00A40C9D" w:rsidRPr="001A1FD3">
        <w:t>—</w:t>
      </w:r>
      <w:r w:rsidRPr="001A1FD3">
        <w:t xml:space="preserve">much less for those state court decisions to have </w:t>
      </w:r>
      <w:r w:rsidRPr="001A1FD3">
        <w:rPr>
          <w:i/>
        </w:rPr>
        <w:t>res judicata</w:t>
      </w:r>
      <w:r w:rsidRPr="001A1FD3">
        <w:t xml:space="preserve"> effects on the federal proceedings as required under the </w:t>
      </w:r>
      <w:r w:rsidRPr="001A1FD3">
        <w:rPr>
          <w:i/>
        </w:rPr>
        <w:t>Colorado River</w:t>
      </w:r>
      <w:r w:rsidRPr="001A1FD3">
        <w:t xml:space="preserve"> Doctrine. Accordingly, the first element is not met.</w:t>
      </w:r>
    </w:p>
    <w:p w14:paraId="6BBFBCE6" w14:textId="4524F224" w:rsidR="00491821" w:rsidRPr="001A1FD3" w:rsidRDefault="00491821" w:rsidP="00B04E83">
      <w:pPr>
        <w:spacing w:line="480" w:lineRule="auto"/>
        <w:ind w:firstLine="720"/>
      </w:pPr>
      <w:r w:rsidRPr="001A1FD3">
        <w:t xml:space="preserve">Second, there </w:t>
      </w:r>
      <w:r w:rsidR="00B04E83" w:rsidRPr="001A1FD3">
        <w:t>are</w:t>
      </w:r>
      <w:r w:rsidRPr="001A1FD3">
        <w:t xml:space="preserve"> no extraordinary circumstances justifying abstention. Courts consider six factors in determining whether “extraordinary circumstances” exist: </w:t>
      </w:r>
      <w:r w:rsidRPr="001A1FD3">
        <w:rPr>
          <w:rFonts w:cs="Arial"/>
        </w:rPr>
        <w:t xml:space="preserve">“(1) which court first assumed jurisdiction over property; (2) the inconvenience of the federal forum; (3) the desirability of avoiding piecemeal litigation; (4) the order in which jurisdiction was obtained; (5) whether federal or state law controls; and (6) whether the state court will adequately protect the interests of the parties.” </w:t>
      </w:r>
      <w:bookmarkStart w:id="41" w:name="dabmci_946d5c0aea9f4a8cb3f335ea4ca0e527"/>
      <w:r w:rsidR="00BF041A">
        <w:rPr>
          <w:rFonts w:cs="Arial"/>
        </w:rPr>
        <w:fldChar w:fldCharType="begin"/>
      </w:r>
      <w:r w:rsidR="00BF041A" w:rsidRPr="00BF041A">
        <w:instrText xml:space="preserve"> TA \l "</w:instrText>
      </w:r>
      <w:r w:rsidR="00BF041A" w:rsidRPr="00BF041A">
        <w:rPr>
          <w:i/>
          <w:color w:val="000000"/>
        </w:rPr>
        <w:instrText>Spring City Corp. v. American Bldgs. Co.</w:instrText>
      </w:r>
      <w:r w:rsidR="00BF041A" w:rsidRPr="00BF041A">
        <w:rPr>
          <w:color w:val="000000"/>
        </w:rPr>
        <w:instrText>,</w:instrText>
      </w:r>
      <w:r w:rsidR="00BF041A" w:rsidRPr="00BF041A">
        <w:rPr>
          <w:color w:val="000000"/>
        </w:rPr>
        <w:br/>
        <w:instrText>193 F.3d 165 (3d Cir. 1999)</w:instrText>
      </w:r>
      <w:r w:rsidR="00BF041A" w:rsidRPr="00BF041A">
        <w:instrText xml:space="preserve">" \s "dabmci_946d5c0aea9f4a8cb3f335ea4ca0e527_1" \c 1 </w:instrText>
      </w:r>
      <w:r w:rsidR="00BF041A">
        <w:rPr>
          <w:rFonts w:cs="Arial"/>
        </w:rPr>
        <w:fldChar w:fldCharType="end"/>
      </w:r>
      <w:r w:rsidRPr="001A1FD3">
        <w:rPr>
          <w:rFonts w:cs="Arial"/>
          <w:i/>
        </w:rPr>
        <w:t>Spring City Corp. v. American Bldgs. Co.</w:t>
      </w:r>
      <w:r w:rsidRPr="001A1FD3">
        <w:rPr>
          <w:rFonts w:cs="Arial"/>
        </w:rPr>
        <w:t>, 193</w:t>
      </w:r>
      <w:r w:rsidR="00B04E83" w:rsidRPr="001A1FD3">
        <w:rPr>
          <w:rFonts w:cs="Arial"/>
        </w:rPr>
        <w:t xml:space="preserve"> F.3d 165, </w:t>
      </w:r>
      <w:r w:rsidR="008D4716">
        <w:rPr>
          <w:rFonts w:cs="Arial"/>
        </w:rPr>
        <w:t>171-</w:t>
      </w:r>
      <w:r w:rsidR="00B04E83" w:rsidRPr="001A1FD3">
        <w:rPr>
          <w:rFonts w:cs="Arial"/>
        </w:rPr>
        <w:t>72 (3d Cir. 1999)</w:t>
      </w:r>
      <w:bookmarkEnd w:id="41"/>
      <w:r w:rsidR="00B04E83" w:rsidRPr="001A1FD3">
        <w:rPr>
          <w:rFonts w:cs="Arial"/>
        </w:rPr>
        <w:t xml:space="preserve">. </w:t>
      </w:r>
      <w:r w:rsidR="005F40F8">
        <w:rPr>
          <w:rFonts w:cs="Arial"/>
        </w:rPr>
        <w:t>T</w:t>
      </w:r>
      <w:r w:rsidRPr="001A1FD3">
        <w:rPr>
          <w:rFonts w:cs="Arial"/>
        </w:rPr>
        <w:t xml:space="preserve">his is not an </w:t>
      </w:r>
      <w:r w:rsidRPr="001A1FD3">
        <w:rPr>
          <w:rFonts w:cs="Arial"/>
          <w:i/>
        </w:rPr>
        <w:t>in rem</w:t>
      </w:r>
      <w:r w:rsidRPr="001A1FD3">
        <w:rPr>
          <w:rFonts w:cs="Arial"/>
        </w:rPr>
        <w:t xml:space="preserve"> action, so the first factor is not relevant.</w:t>
      </w:r>
    </w:p>
    <w:p w14:paraId="35BEC555" w14:textId="507DB7F0" w:rsidR="00491821" w:rsidRPr="001A1FD3" w:rsidRDefault="00491821" w:rsidP="00491821">
      <w:pPr>
        <w:spacing w:line="480" w:lineRule="auto"/>
        <w:ind w:firstLine="720"/>
        <w:rPr>
          <w:rFonts w:cs="Arial"/>
        </w:rPr>
      </w:pPr>
      <w:r w:rsidRPr="001A1FD3">
        <w:rPr>
          <w:rFonts w:cs="Arial"/>
        </w:rPr>
        <w:lastRenderedPageBreak/>
        <w:t xml:space="preserve">The second factor, the convenience of the federal forum, weighs against a stay. NLC concedes that it has facilities in New Jersey and that many of the witnesses can be found in this forum. Further, this is not an action where the state and federal actions are being litigated in different states which could potentially lead to inconveniencing the litigants. </w:t>
      </w:r>
      <w:r w:rsidRPr="001A1FD3">
        <w:rPr>
          <w:rFonts w:cs="Arial"/>
          <w:i/>
        </w:rPr>
        <w:t>See</w:t>
      </w:r>
      <w:r w:rsidR="005F40F8">
        <w:rPr>
          <w:rFonts w:cs="Arial"/>
          <w:i/>
        </w:rPr>
        <w:t xml:space="preserve"> </w:t>
      </w:r>
      <w:r w:rsidR="008D4716">
        <w:rPr>
          <w:rFonts w:cs="Arial"/>
          <w:i/>
        </w:rPr>
        <w:t>id.</w:t>
      </w:r>
      <w:r w:rsidR="005F40F8">
        <w:rPr>
          <w:rFonts w:cs="Arial"/>
        </w:rPr>
        <w:t xml:space="preserve"> at 171 (</w:t>
      </w:r>
      <w:r w:rsidR="009233B5">
        <w:rPr>
          <w:rFonts w:cs="Arial"/>
        </w:rPr>
        <w:t xml:space="preserve">finding no inconvenience where </w:t>
      </w:r>
      <w:r w:rsidR="005F40F8">
        <w:rPr>
          <w:rFonts w:cs="Arial"/>
        </w:rPr>
        <w:t xml:space="preserve">both actions </w:t>
      </w:r>
      <w:r w:rsidR="002D1E2E">
        <w:rPr>
          <w:rFonts w:cs="Arial"/>
        </w:rPr>
        <w:t xml:space="preserve">were </w:t>
      </w:r>
      <w:r w:rsidR="005F40F8">
        <w:rPr>
          <w:rFonts w:cs="Arial"/>
        </w:rPr>
        <w:t xml:space="preserve">in </w:t>
      </w:r>
      <w:r w:rsidR="009233B5">
        <w:rPr>
          <w:rFonts w:cs="Arial"/>
        </w:rPr>
        <w:t>the same state</w:t>
      </w:r>
      <w:r w:rsidR="005F40F8">
        <w:rPr>
          <w:rFonts w:cs="Arial"/>
        </w:rPr>
        <w:t>)</w:t>
      </w:r>
      <w:r w:rsidRPr="001A1FD3">
        <w:rPr>
          <w:rFonts w:cs="Arial"/>
        </w:rPr>
        <w:t>.</w:t>
      </w:r>
    </w:p>
    <w:p w14:paraId="72A5186E" w14:textId="7D41C80C" w:rsidR="001E2F23" w:rsidRPr="001A1FD3" w:rsidRDefault="007B39FA" w:rsidP="00874B99">
      <w:pPr>
        <w:spacing w:line="480" w:lineRule="auto"/>
        <w:ind w:firstLine="720"/>
        <w:rPr>
          <w:rFonts w:cs="Arial"/>
        </w:rPr>
      </w:pPr>
      <w:r>
        <w:rPr>
          <w:rFonts w:cs="Arial"/>
        </w:rPr>
        <w:t>Contrary to NLC’s argument, t</w:t>
      </w:r>
      <w:r w:rsidR="00491821" w:rsidRPr="001A1FD3">
        <w:rPr>
          <w:rFonts w:cs="Arial"/>
        </w:rPr>
        <w:t>he third factor</w:t>
      </w:r>
      <w:r>
        <w:rPr>
          <w:rFonts w:cs="Arial"/>
        </w:rPr>
        <w:t xml:space="preserve">—avoiding piecemeal litigation—weighs </w:t>
      </w:r>
      <w:r w:rsidR="00B04E83" w:rsidRPr="001A1FD3">
        <w:rPr>
          <w:rFonts w:cs="Arial"/>
        </w:rPr>
        <w:t>against abstention.</w:t>
      </w:r>
      <w:r w:rsidR="00491821" w:rsidRPr="001A1FD3">
        <w:rPr>
          <w:rFonts w:cs="Arial"/>
        </w:rPr>
        <w:t xml:space="preserve"> As the Third Circuit has made clear, regardless of whether it “would be more efficient to hold the federal cases in abeyance until the conclusion of the state case</w:t>
      </w:r>
      <w:r w:rsidR="00A40C9D" w:rsidRPr="001A1FD3">
        <w:rPr>
          <w:rFonts w:cs="Arial"/>
        </w:rPr>
        <w:t xml:space="preserve"> </w:t>
      </w:r>
      <w:r w:rsidR="00491821" w:rsidRPr="001A1FD3">
        <w:rPr>
          <w:rFonts w:cs="Arial"/>
        </w:rPr>
        <w:t xml:space="preserve">. . . </w:t>
      </w:r>
      <w:r w:rsidR="00491821" w:rsidRPr="001A1FD3">
        <w:rPr>
          <w:rFonts w:cs="Arial"/>
          <w:i/>
          <w:iCs/>
        </w:rPr>
        <w:t>Colorado River</w:t>
      </w:r>
      <w:r w:rsidR="00491821" w:rsidRPr="001A1FD3">
        <w:rPr>
          <w:rFonts w:cs="Arial"/>
        </w:rPr>
        <w:t xml:space="preserve"> abstention must be grounded on more than just the interest </w:t>
      </w:r>
      <w:r w:rsidR="00491821" w:rsidRPr="001A1FD3">
        <w:rPr>
          <w:rFonts w:cs="Arial"/>
        </w:rPr>
        <w:object w:dxaOrig="225" w:dyaOrig="225" w14:anchorId="74311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4" o:title=""/>
          </v:shape>
          <w:control r:id="rId15" w:name="DefaultOcxName1" w:shapeid="_x0000_i1028"/>
        </w:object>
      </w:r>
      <w:r w:rsidR="00491821" w:rsidRPr="001A1FD3">
        <w:rPr>
          <w:rFonts w:cs="Arial"/>
        </w:rPr>
        <w:t>in avoiding duplicative litigation.”</w:t>
      </w:r>
      <w:r w:rsidR="00491821" w:rsidRPr="001A1FD3">
        <w:rPr>
          <w:rFonts w:cs="Arial"/>
          <w:i/>
        </w:rPr>
        <w:t xml:space="preserve"> </w:t>
      </w:r>
      <w:r w:rsidR="008D4716">
        <w:rPr>
          <w:rFonts w:cs="Arial"/>
          <w:i/>
        </w:rPr>
        <w:t>Id.</w:t>
      </w:r>
      <w:r w:rsidR="00491821" w:rsidRPr="001A1FD3">
        <w:rPr>
          <w:rFonts w:cs="Arial"/>
        </w:rPr>
        <w:t xml:space="preserve"> at 171-72. The Court’s concern is not whether a party might have to litigate in two courts simultaneously, but rather whether contr</w:t>
      </w:r>
      <w:r w:rsidR="001E2F23" w:rsidRPr="001A1FD3">
        <w:rPr>
          <w:rFonts w:cs="Arial"/>
        </w:rPr>
        <w:t xml:space="preserve">adictory outcomes might arise. </w:t>
      </w:r>
      <w:r w:rsidR="00491821" w:rsidRPr="001A1FD3">
        <w:rPr>
          <w:rFonts w:cs="Arial"/>
          <w:i/>
        </w:rPr>
        <w:t xml:space="preserve">See </w:t>
      </w:r>
      <w:bookmarkStart w:id="42" w:name="dabmci_f098ca84089f4a90a3bf1b64fd4e14d5"/>
      <w:r w:rsidR="00BF041A">
        <w:rPr>
          <w:rFonts w:cs="Arial"/>
          <w:i/>
        </w:rPr>
        <w:fldChar w:fldCharType="begin"/>
      </w:r>
      <w:r w:rsidR="00BF041A" w:rsidRPr="00BF041A">
        <w:instrText xml:space="preserve"> TA \l "</w:instrText>
      </w:r>
      <w:r w:rsidR="00BF041A" w:rsidRPr="00BF041A">
        <w:rPr>
          <w:i/>
          <w:color w:val="000000"/>
        </w:rPr>
        <w:instrText>Colorado River</w:instrText>
      </w:r>
      <w:r w:rsidR="00BF041A" w:rsidRPr="00BF041A">
        <w:rPr>
          <w:color w:val="000000"/>
        </w:rPr>
        <w:instrText>,</w:instrText>
      </w:r>
      <w:r w:rsidR="00BF041A" w:rsidRPr="00BF041A">
        <w:rPr>
          <w:color w:val="000000"/>
        </w:rPr>
        <w:br/>
        <w:instrText>424 U.S.</w:instrText>
      </w:r>
      <w:r w:rsidR="00BF041A" w:rsidRPr="00BF041A">
        <w:instrText xml:space="preserve">" \s "dabmci_f098ca84089f4a90a3bf1b64fd4e14d5_1" \c 1 </w:instrText>
      </w:r>
      <w:r w:rsidR="00BF041A">
        <w:rPr>
          <w:rFonts w:cs="Arial"/>
          <w:i/>
        </w:rPr>
        <w:fldChar w:fldCharType="end"/>
      </w:r>
      <w:r w:rsidR="00491821" w:rsidRPr="001A1FD3">
        <w:rPr>
          <w:rFonts w:cs="Arial"/>
          <w:i/>
        </w:rPr>
        <w:t>Colorado River</w:t>
      </w:r>
      <w:r w:rsidR="00F50CBD">
        <w:rPr>
          <w:rFonts w:cs="Arial"/>
          <w:i/>
        </w:rPr>
        <w:t xml:space="preserve"> v. United States</w:t>
      </w:r>
      <w:r w:rsidR="00491821" w:rsidRPr="001A1FD3">
        <w:rPr>
          <w:rFonts w:cs="Arial"/>
        </w:rPr>
        <w:t xml:space="preserve">, 424 U.S. </w:t>
      </w:r>
      <w:r w:rsidR="00F50CBD">
        <w:rPr>
          <w:rFonts w:cs="Arial"/>
        </w:rPr>
        <w:t xml:space="preserve">800, </w:t>
      </w:r>
      <w:r w:rsidR="00491821" w:rsidRPr="001A1FD3">
        <w:rPr>
          <w:rFonts w:cs="Arial"/>
        </w:rPr>
        <w:t>813</w:t>
      </w:r>
      <w:bookmarkEnd w:id="42"/>
      <w:r w:rsidR="00F50CBD">
        <w:rPr>
          <w:rFonts w:cs="Arial"/>
        </w:rPr>
        <w:t xml:space="preserve"> (1976)</w:t>
      </w:r>
      <w:r w:rsidR="00491821" w:rsidRPr="001A1FD3">
        <w:rPr>
          <w:rFonts w:cs="Arial"/>
        </w:rPr>
        <w:t xml:space="preserve"> (</w:t>
      </w:r>
      <w:r w:rsidR="005F40F8">
        <w:rPr>
          <w:rFonts w:cs="Arial"/>
        </w:rPr>
        <w:t>abstention granted because of concern over contradictory outcomes and clear federal policy against piecemeal litigation in water rights pursuant to McCarran Act)</w:t>
      </w:r>
      <w:r w:rsidR="00874B99" w:rsidRPr="001A1FD3">
        <w:rPr>
          <w:rFonts w:cs="Arial"/>
        </w:rPr>
        <w:t xml:space="preserve">. No such </w:t>
      </w:r>
      <w:r w:rsidR="00874B99" w:rsidRPr="001A1FD3">
        <w:rPr>
          <w:rFonts w:cs="Arial"/>
        </w:rPr>
        <w:lastRenderedPageBreak/>
        <w:t xml:space="preserve">concern exists here. </w:t>
      </w:r>
      <w:r w:rsidR="00491821" w:rsidRPr="001A1FD3">
        <w:rPr>
          <w:rFonts w:cs="Arial"/>
        </w:rPr>
        <w:t xml:space="preserve">Whether NLC violated the LAD is not </w:t>
      </w:r>
      <w:r w:rsidR="00D24D8B" w:rsidRPr="001A1FD3">
        <w:rPr>
          <w:rFonts w:cs="Arial"/>
        </w:rPr>
        <w:t xml:space="preserve">necessarily </w:t>
      </w:r>
      <w:r w:rsidR="00491821" w:rsidRPr="001A1FD3">
        <w:rPr>
          <w:rFonts w:cs="Arial"/>
        </w:rPr>
        <w:t xml:space="preserve">determinative of whether it violated the </w:t>
      </w:r>
      <w:r>
        <w:rPr>
          <w:rFonts w:cs="Arial"/>
        </w:rPr>
        <w:t>ADA, or vice versa</w:t>
      </w:r>
      <w:r w:rsidR="00491821" w:rsidRPr="001A1FD3">
        <w:rPr>
          <w:rFonts w:cs="Arial"/>
        </w:rPr>
        <w:t xml:space="preserve">. </w:t>
      </w:r>
      <w:r w:rsidR="008D4716">
        <w:rPr>
          <w:rFonts w:cs="Arial"/>
        </w:rPr>
        <w:t>Any inconvenience to</w:t>
      </w:r>
      <w:r w:rsidR="00491821" w:rsidRPr="001A1FD3">
        <w:rPr>
          <w:rFonts w:cs="Arial"/>
        </w:rPr>
        <w:t xml:space="preserve"> NLC </w:t>
      </w:r>
      <w:r w:rsidR="008D4716">
        <w:rPr>
          <w:rFonts w:cs="Arial"/>
        </w:rPr>
        <w:t xml:space="preserve">arising from the concurrent lawsuits </w:t>
      </w:r>
      <w:r w:rsidR="00491821" w:rsidRPr="001A1FD3">
        <w:rPr>
          <w:rFonts w:cs="Arial"/>
        </w:rPr>
        <w:t xml:space="preserve">is neither unusual nor extraordinary. Further, regardless of whether certain ADA claims could be brought in state court, </w:t>
      </w:r>
      <w:r w:rsidR="00874B99" w:rsidRPr="001A1FD3">
        <w:rPr>
          <w:rFonts w:cs="Arial"/>
        </w:rPr>
        <w:t xml:space="preserve">the ADA requires that the Attorney General enforce the ADA in </w:t>
      </w:r>
      <w:r w:rsidR="00491821" w:rsidRPr="001A1FD3">
        <w:rPr>
          <w:rFonts w:cs="Arial"/>
        </w:rPr>
        <w:t>federal courts.</w:t>
      </w:r>
      <w:r w:rsidR="00874B99" w:rsidRPr="001A1FD3">
        <w:rPr>
          <w:rFonts w:cs="Arial"/>
        </w:rPr>
        <w:t xml:space="preserve"> </w:t>
      </w:r>
      <w:bookmarkStart w:id="43" w:name="dabmci_18141fa7b5d64dbaacbaf9ade4475248"/>
      <w:r w:rsidR="00BF041A">
        <w:rPr>
          <w:rFonts w:cs="Arial"/>
        </w:rPr>
        <w:fldChar w:fldCharType="begin"/>
      </w:r>
      <w:r w:rsidR="00BF041A" w:rsidRPr="00BF041A">
        <w:instrText xml:space="preserve"> TA \l "</w:instrText>
      </w:r>
      <w:r w:rsidR="00BF041A" w:rsidRPr="00BF041A">
        <w:rPr>
          <w:color w:val="000000"/>
        </w:rPr>
        <w:instrText>42 U.S.C. § 12188(b)(1)(B)</w:instrText>
      </w:r>
      <w:r w:rsidR="00BF041A" w:rsidRPr="00BF041A">
        <w:instrText xml:space="preserve">" \s "dabmci_18141fa7b5d64dbaacbaf9ade4475248_1" \c 2 </w:instrText>
      </w:r>
      <w:r w:rsidR="00BF041A">
        <w:rPr>
          <w:rFonts w:cs="Arial"/>
        </w:rPr>
        <w:fldChar w:fldCharType="end"/>
      </w:r>
      <w:r w:rsidR="00874B99" w:rsidRPr="001A1FD3">
        <w:rPr>
          <w:rFonts w:cs="Arial"/>
        </w:rPr>
        <w:t>42 U.S.C. § 12188(b)(1)(B)</w:t>
      </w:r>
      <w:bookmarkEnd w:id="43"/>
      <w:r w:rsidR="00874B99" w:rsidRPr="001A1FD3">
        <w:rPr>
          <w:rFonts w:cs="Arial"/>
        </w:rPr>
        <w:t>.</w:t>
      </w:r>
      <w:r w:rsidR="00491821" w:rsidRPr="001A1FD3">
        <w:rPr>
          <w:rFonts w:cs="Arial"/>
        </w:rPr>
        <w:t xml:space="preserve"> Therefore, the third factor weighs against abstention.</w:t>
      </w:r>
    </w:p>
    <w:p w14:paraId="42A729E6" w14:textId="0A0102EA" w:rsidR="001E2F23" w:rsidRPr="001A1FD3" w:rsidRDefault="00491821" w:rsidP="00B04E83">
      <w:pPr>
        <w:spacing w:line="480" w:lineRule="auto"/>
        <w:ind w:firstLine="720"/>
      </w:pPr>
      <w:r w:rsidRPr="001A1FD3">
        <w:rPr>
          <w:rFonts w:cs="Arial"/>
        </w:rPr>
        <w:t xml:space="preserve">The United States acknowledges that the state court action was filed first, the fourth factor, but NLC greatly exaggerates </w:t>
      </w:r>
      <w:r w:rsidR="002F2583" w:rsidRPr="001A1FD3">
        <w:rPr>
          <w:rFonts w:cs="Arial"/>
        </w:rPr>
        <w:t xml:space="preserve">the </w:t>
      </w:r>
      <w:r w:rsidRPr="001A1FD3">
        <w:rPr>
          <w:rFonts w:cs="Arial"/>
        </w:rPr>
        <w:t>difference in the timing</w:t>
      </w:r>
      <w:r w:rsidR="00B04E83" w:rsidRPr="001A1FD3">
        <w:rPr>
          <w:rFonts w:cs="Arial"/>
        </w:rPr>
        <w:t xml:space="preserve"> by drawing a false comparison</w:t>
      </w:r>
      <w:r w:rsidRPr="001A1FD3">
        <w:rPr>
          <w:rFonts w:cs="Arial"/>
        </w:rPr>
        <w:t xml:space="preserve">. NLC compares the date on which M.M.’s parents filed their </w:t>
      </w:r>
      <w:r w:rsidR="00B04E83" w:rsidRPr="001A1FD3">
        <w:rPr>
          <w:rFonts w:cs="Arial"/>
        </w:rPr>
        <w:t xml:space="preserve">state </w:t>
      </w:r>
      <w:r w:rsidRPr="001A1FD3">
        <w:rPr>
          <w:rFonts w:cs="Arial"/>
        </w:rPr>
        <w:t>administrative claim to the date on which the federal suit was filed</w:t>
      </w:r>
      <w:r w:rsidR="00B04E83" w:rsidRPr="001A1FD3">
        <w:rPr>
          <w:rFonts w:cs="Arial"/>
        </w:rPr>
        <w:t xml:space="preserve">. </w:t>
      </w:r>
      <w:r w:rsidR="00B04E83" w:rsidRPr="001A1FD3">
        <w:t>NLC Br.</w:t>
      </w:r>
      <w:r w:rsidR="00B04E83" w:rsidRPr="001A1FD3">
        <w:rPr>
          <w:rFonts w:cs="Arial"/>
        </w:rPr>
        <w:t xml:space="preserve"> at 15-16. </w:t>
      </w:r>
      <w:r w:rsidR="00390E85">
        <w:rPr>
          <w:rFonts w:cs="Arial"/>
        </w:rPr>
        <w:t xml:space="preserve">If </w:t>
      </w:r>
      <w:r w:rsidR="00B04E83" w:rsidRPr="001A1FD3">
        <w:rPr>
          <w:rFonts w:cs="Arial"/>
        </w:rPr>
        <w:t xml:space="preserve">the Court compares the date on which the </w:t>
      </w:r>
      <w:r w:rsidR="00390E85">
        <w:rPr>
          <w:rFonts w:cs="Arial"/>
        </w:rPr>
        <w:t xml:space="preserve">state court action was </w:t>
      </w:r>
      <w:r w:rsidR="00B04E83" w:rsidRPr="001A1FD3">
        <w:rPr>
          <w:rFonts w:cs="Arial"/>
        </w:rPr>
        <w:t>commenced (October 26,</w:t>
      </w:r>
      <w:r w:rsidR="00390E85">
        <w:rPr>
          <w:rFonts w:cs="Arial"/>
        </w:rPr>
        <w:t xml:space="preserve"> 2016) to the date on which this </w:t>
      </w:r>
      <w:r w:rsidR="00B04E83" w:rsidRPr="001A1FD3">
        <w:rPr>
          <w:rFonts w:cs="Arial"/>
        </w:rPr>
        <w:t xml:space="preserve">action </w:t>
      </w:r>
      <w:r w:rsidR="00390E85">
        <w:rPr>
          <w:rFonts w:cs="Arial"/>
        </w:rPr>
        <w:t xml:space="preserve">was commenced </w:t>
      </w:r>
      <w:r w:rsidR="00B04E83" w:rsidRPr="001A1FD3">
        <w:rPr>
          <w:rFonts w:cs="Arial"/>
        </w:rPr>
        <w:t>(January 18, 2017), the difference becomes</w:t>
      </w:r>
      <w:r w:rsidR="005F40F8">
        <w:rPr>
          <w:rFonts w:cs="Arial"/>
        </w:rPr>
        <w:t xml:space="preserve"> fairly insignificant. </w:t>
      </w:r>
      <w:r w:rsidR="00B04E83" w:rsidRPr="001A1FD3">
        <w:rPr>
          <w:rFonts w:cs="Arial"/>
        </w:rPr>
        <w:t xml:space="preserve"> </w:t>
      </w:r>
    </w:p>
    <w:p w14:paraId="21FF32CD" w14:textId="63C3380A" w:rsidR="001E2F23" w:rsidRPr="001A1FD3" w:rsidRDefault="00491821" w:rsidP="001E2F23">
      <w:pPr>
        <w:spacing w:line="480" w:lineRule="auto"/>
        <w:ind w:firstLine="720"/>
        <w:rPr>
          <w:rFonts w:cs="Arial"/>
        </w:rPr>
      </w:pPr>
      <w:r w:rsidRPr="001A1FD3">
        <w:rPr>
          <w:rFonts w:cs="Arial"/>
        </w:rPr>
        <w:lastRenderedPageBreak/>
        <w:t xml:space="preserve">The fifth factor, whether federal or state law controls, weighs heavily against abstention. As NLC concedes, “state law applies to the State Court Action, and federal law applies to the federal action.” </w:t>
      </w:r>
      <w:r w:rsidR="000E3DCA" w:rsidRPr="001A1FD3">
        <w:rPr>
          <w:i/>
        </w:rPr>
        <w:t xml:space="preserve">Id. </w:t>
      </w:r>
      <w:r w:rsidRPr="001A1FD3">
        <w:rPr>
          <w:rFonts w:cs="Arial"/>
        </w:rPr>
        <w:t xml:space="preserve">at 16. As the United States cannot be bound by a proceeding to which </w:t>
      </w:r>
      <w:r w:rsidR="008D4716">
        <w:rPr>
          <w:rFonts w:cs="Arial"/>
        </w:rPr>
        <w:t>it is</w:t>
      </w:r>
      <w:r w:rsidRPr="001A1FD3">
        <w:rPr>
          <w:rFonts w:cs="Arial"/>
        </w:rPr>
        <w:t xml:space="preserve"> not a party, ultimately a determination of whether federal law was violated must be made by this Court. </w:t>
      </w:r>
    </w:p>
    <w:p w14:paraId="564C9892" w14:textId="2211A279" w:rsidR="001E2F23" w:rsidRPr="001A1FD3" w:rsidRDefault="00491821" w:rsidP="0023472F">
      <w:pPr>
        <w:spacing w:line="480" w:lineRule="auto"/>
        <w:ind w:firstLine="720"/>
        <w:rPr>
          <w:rFonts w:cs="Arial"/>
        </w:rPr>
      </w:pPr>
      <w:r w:rsidRPr="001A1FD3">
        <w:rPr>
          <w:rFonts w:cs="Arial"/>
        </w:rPr>
        <w:t>Similarly, as the United States cannot be bound by the state court proceedings, the state court’s determination cannot adequately protect the federal interests in this matter</w:t>
      </w:r>
      <w:r w:rsidR="00A40C9D" w:rsidRPr="001A1FD3">
        <w:rPr>
          <w:rFonts w:cs="Arial"/>
        </w:rPr>
        <w:t>—</w:t>
      </w:r>
      <w:r w:rsidRPr="001A1FD3">
        <w:rPr>
          <w:rFonts w:cs="Arial"/>
        </w:rPr>
        <w:t xml:space="preserve">the sixth factor. </w:t>
      </w:r>
      <w:r w:rsidR="00874B99" w:rsidRPr="001A1FD3">
        <w:rPr>
          <w:rFonts w:cs="Arial"/>
        </w:rPr>
        <w:t>The Attorney General</w:t>
      </w:r>
      <w:r w:rsidR="0023472F" w:rsidRPr="001A1FD3">
        <w:rPr>
          <w:rFonts w:cs="Arial"/>
        </w:rPr>
        <w:t>, vested with the power to enforce the ADA throughout the United States,</w:t>
      </w:r>
      <w:r w:rsidR="00874B99" w:rsidRPr="001A1FD3">
        <w:rPr>
          <w:rFonts w:cs="Arial"/>
        </w:rPr>
        <w:t xml:space="preserve"> has commenced this action because </w:t>
      </w:r>
      <w:r w:rsidR="008D4716">
        <w:rPr>
          <w:rFonts w:cs="Arial"/>
        </w:rPr>
        <w:t xml:space="preserve">the violations of the ADA here raise </w:t>
      </w:r>
      <w:r w:rsidR="00874B99" w:rsidRPr="001A1FD3">
        <w:rPr>
          <w:rFonts w:cs="Arial"/>
        </w:rPr>
        <w:t>issue</w:t>
      </w:r>
      <w:r w:rsidR="0023472F" w:rsidRPr="001A1FD3">
        <w:rPr>
          <w:rFonts w:cs="Arial"/>
        </w:rPr>
        <w:t xml:space="preserve">s of general public importance. </w:t>
      </w:r>
      <w:r w:rsidRPr="001A1FD3">
        <w:rPr>
          <w:rFonts w:cs="Arial"/>
        </w:rPr>
        <w:t>As discussed above, not only can the state court not reach the issues of the United States’ role in enforcing federal law and not assess civil penalties, but also it cannot supervise the nationwide discovery necessary for the United States</w:t>
      </w:r>
      <w:r w:rsidR="000E3DCA" w:rsidRPr="001A1FD3">
        <w:rPr>
          <w:rFonts w:cs="Arial"/>
        </w:rPr>
        <w:t>’</w:t>
      </w:r>
      <w:r w:rsidRPr="001A1FD3">
        <w:rPr>
          <w:rFonts w:cs="Arial"/>
        </w:rPr>
        <w:t xml:space="preserve"> proper enforcement of that law. Therefore, this factor </w:t>
      </w:r>
      <w:r w:rsidR="000E3DCA" w:rsidRPr="001A1FD3">
        <w:rPr>
          <w:rFonts w:cs="Arial"/>
        </w:rPr>
        <w:t>weights against</w:t>
      </w:r>
      <w:r w:rsidRPr="001A1FD3">
        <w:rPr>
          <w:rFonts w:cs="Arial"/>
        </w:rPr>
        <w:t xml:space="preserve"> abstention.</w:t>
      </w:r>
    </w:p>
    <w:p w14:paraId="559829D7" w14:textId="15070E96" w:rsidR="00491821" w:rsidRPr="001A1FD3" w:rsidRDefault="00491821" w:rsidP="001E2F23">
      <w:pPr>
        <w:spacing w:line="480" w:lineRule="auto"/>
        <w:ind w:firstLine="720"/>
        <w:rPr>
          <w:rFonts w:cs="Arial"/>
        </w:rPr>
      </w:pPr>
      <w:r w:rsidRPr="001A1FD3">
        <w:rPr>
          <w:rFonts w:cs="Arial"/>
        </w:rPr>
        <w:lastRenderedPageBreak/>
        <w:t>In conclusion, other than the state court action having been filed first, none of the factors support abstention. The minor inconvenience to NLC to have to litigate against separate parties, under separate law</w:t>
      </w:r>
      <w:r w:rsidR="00D24D8B" w:rsidRPr="001A1FD3">
        <w:rPr>
          <w:rFonts w:cs="Arial"/>
        </w:rPr>
        <w:t>s</w:t>
      </w:r>
      <w:r w:rsidRPr="001A1FD3">
        <w:rPr>
          <w:rFonts w:cs="Arial"/>
        </w:rPr>
        <w:t xml:space="preserve"> in separate courts is not an “extraordinary circumstance” sufficient to support the extraordinary remedy of abstention and dismissal of an action brought by the United States in its statutory enforcement duty.</w:t>
      </w:r>
      <w:r w:rsidR="00390E85">
        <w:rPr>
          <w:rFonts w:cs="Arial"/>
        </w:rPr>
        <w:t xml:space="preserve"> </w:t>
      </w:r>
      <w:r w:rsidRPr="001A1FD3">
        <w:rPr>
          <w:rFonts w:cs="Arial"/>
        </w:rPr>
        <w:t xml:space="preserve">For all of these reasons, the Court must deny the </w:t>
      </w:r>
      <w:r w:rsidRPr="001A1FD3">
        <w:rPr>
          <w:rFonts w:cs="Arial"/>
          <w:i/>
        </w:rPr>
        <w:t>Colorado River</w:t>
      </w:r>
      <w:r w:rsidRPr="001A1FD3">
        <w:rPr>
          <w:rFonts w:cs="Arial"/>
        </w:rPr>
        <w:t xml:space="preserve"> Doctrine abstention and dismissal sought by NLC.</w:t>
      </w:r>
    </w:p>
    <w:p w14:paraId="4989F871" w14:textId="77777777" w:rsidR="00491821" w:rsidRPr="001A1FD3" w:rsidRDefault="00491821" w:rsidP="001E2F23">
      <w:pPr>
        <w:pStyle w:val="Heading3"/>
      </w:pPr>
      <w:bookmarkStart w:id="44" w:name="_Toc481414273"/>
      <w:r w:rsidRPr="001A1FD3">
        <w:t>There is No Basis for the Court to Stay this Action</w:t>
      </w:r>
      <w:r w:rsidR="00D24D8B" w:rsidRPr="001A1FD3">
        <w:t xml:space="preserve"> Based Upon the Court’s Inherent Powers</w:t>
      </w:r>
      <w:bookmarkEnd w:id="44"/>
    </w:p>
    <w:p w14:paraId="048660B3" w14:textId="501A735F" w:rsidR="001E2F23" w:rsidRPr="001A1FD3" w:rsidRDefault="00491821" w:rsidP="00EA09D2">
      <w:pPr>
        <w:spacing w:line="480" w:lineRule="auto"/>
        <w:ind w:firstLine="720"/>
      </w:pPr>
      <w:r w:rsidRPr="001A1FD3">
        <w:t xml:space="preserve">While the United States acknowledges that it is within the </w:t>
      </w:r>
      <w:r w:rsidR="00C528B7">
        <w:t xml:space="preserve">Court’s </w:t>
      </w:r>
      <w:r w:rsidRPr="001A1FD3">
        <w:t xml:space="preserve">inherent power to manage its docket and, in </w:t>
      </w:r>
      <w:r w:rsidR="005F40F8">
        <w:t xml:space="preserve">limited </w:t>
      </w:r>
      <w:r w:rsidRPr="001A1FD3">
        <w:t xml:space="preserve">circumstances, stay actions, there is no basis for needlessly delaying this action. </w:t>
      </w:r>
      <w:r w:rsidR="000E3DCA" w:rsidRPr="001A1FD3">
        <w:rPr>
          <w:i/>
        </w:rPr>
        <w:t>See</w:t>
      </w:r>
      <w:r w:rsidRPr="001A1FD3">
        <w:rPr>
          <w:i/>
        </w:rPr>
        <w:t xml:space="preserve"> United States v. $1,879,991.64 Previously Contained in </w:t>
      </w:r>
      <w:bookmarkStart w:id="45" w:name="dabmci_13ed7c8b18d4416ba4c97a9b3bf7951a"/>
      <w:r w:rsidR="00BF041A">
        <w:rPr>
          <w:i/>
        </w:rPr>
        <w:fldChar w:fldCharType="begin"/>
      </w:r>
      <w:r w:rsidR="00BF041A" w:rsidRPr="00BF041A">
        <w:instrText xml:space="preserve"> TA \l "</w:instrText>
      </w:r>
      <w:r w:rsidR="00BF041A" w:rsidRPr="00BF041A">
        <w:rPr>
          <w:i/>
          <w:color w:val="000000"/>
        </w:rPr>
        <w:instrText>Sberbank of Russia’s Interbank</w:instrText>
      </w:r>
      <w:r w:rsidR="00BF041A" w:rsidRPr="00BF041A">
        <w:rPr>
          <w:color w:val="000000"/>
        </w:rPr>
        <w:instrText>,</w:instrText>
      </w:r>
      <w:r w:rsidR="00BF041A" w:rsidRPr="00BF041A">
        <w:rPr>
          <w:color w:val="000000"/>
        </w:rPr>
        <w:br/>
        <w:instrText>185 F. Supp. 3d 493 (D.N.J. 2016)</w:instrText>
      </w:r>
      <w:r w:rsidR="00BF041A" w:rsidRPr="00BF041A">
        <w:instrText xml:space="preserve">" \s "dabmci_13ed7c8b18d4416ba4c97a9b3bf7951a_3" \c 1 </w:instrText>
      </w:r>
      <w:r w:rsidR="00BF041A">
        <w:rPr>
          <w:i/>
        </w:rPr>
        <w:fldChar w:fldCharType="end"/>
      </w:r>
      <w:r w:rsidRPr="001A1FD3">
        <w:rPr>
          <w:i/>
        </w:rPr>
        <w:t>Sberbank of Russia’s Interbank</w:t>
      </w:r>
      <w:r w:rsidRPr="001A1FD3">
        <w:t>, 185 F.</w:t>
      </w:r>
      <w:r w:rsidR="001E2F23" w:rsidRPr="001A1FD3">
        <w:t xml:space="preserve"> </w:t>
      </w:r>
      <w:r w:rsidRPr="001A1FD3">
        <w:t>Supp. 3d 493 (D.N.J. 2016)</w:t>
      </w:r>
      <w:bookmarkEnd w:id="45"/>
      <w:r w:rsidRPr="001A1FD3">
        <w:t>.</w:t>
      </w:r>
      <w:r w:rsidR="00C528B7">
        <w:t xml:space="preserve"> </w:t>
      </w:r>
      <w:r w:rsidR="00EA09D2">
        <w:t>District c</w:t>
      </w:r>
      <w:r w:rsidRPr="001A1FD3">
        <w:t xml:space="preserve">ourts within the Third Circuit </w:t>
      </w:r>
      <w:r w:rsidR="00EA09D2">
        <w:t>consider</w:t>
      </w:r>
      <w:r w:rsidR="007B39FA">
        <w:t xml:space="preserve"> </w:t>
      </w:r>
      <w:r w:rsidRPr="001A1FD3">
        <w:t xml:space="preserve">four factors in determining whether to grant a stay premised upon </w:t>
      </w:r>
      <w:r w:rsidR="00EA09D2">
        <w:t>their</w:t>
      </w:r>
      <w:r w:rsidRPr="001A1FD3">
        <w:t xml:space="preserve"> </w:t>
      </w:r>
      <w:r w:rsidRPr="001A1FD3">
        <w:lastRenderedPageBreak/>
        <w:t>inherent powers. Those factors are: “</w:t>
      </w:r>
      <w:r w:rsidRPr="001A1FD3">
        <w:rPr>
          <w:rFonts w:cs="Arial"/>
        </w:rPr>
        <w:t>(1) the length of the stay; (2) the balance of harm to the parties; (3) the interests of the public; and (4) the interests of judicial economy.</w:t>
      </w:r>
      <w:r w:rsidRPr="001A1FD3">
        <w:t xml:space="preserve">” </w:t>
      </w:r>
      <w:bookmarkStart w:id="46" w:name="dabmci_f79ae18114084bc5a2e6d8e66f91ab9d"/>
      <w:r w:rsidR="00BF041A">
        <w:fldChar w:fldCharType="begin"/>
      </w:r>
      <w:r w:rsidR="00BF041A" w:rsidRPr="00BF041A">
        <w:instrText xml:space="preserve"> TA \l "</w:instrText>
      </w:r>
      <w:r w:rsidR="00BF041A" w:rsidRPr="00BF041A">
        <w:rPr>
          <w:i/>
          <w:color w:val="000000"/>
        </w:rPr>
        <w:instrText>Sberbank of Russia’s Interbank</w:instrText>
      </w:r>
      <w:r w:rsidR="00BF041A" w:rsidRPr="00BF041A">
        <w:rPr>
          <w:color w:val="000000"/>
        </w:rPr>
        <w:instrText>,</w:instrText>
      </w:r>
      <w:r w:rsidR="00BF041A" w:rsidRPr="00BF041A">
        <w:rPr>
          <w:color w:val="000000"/>
        </w:rPr>
        <w:br/>
        <w:instrText>185 F. Supp. 3d 493 (D.N.J. 2016)</w:instrText>
      </w:r>
      <w:r w:rsidR="00BF041A" w:rsidRPr="00BF041A">
        <w:instrText xml:space="preserve">" \s "dabmci_13ed7c8b18d4416ba4c97a9b3bf7951a_3" \c 1 </w:instrText>
      </w:r>
      <w:r w:rsidR="00BF041A">
        <w:fldChar w:fldCharType="end"/>
      </w:r>
      <w:r w:rsidRPr="001A1FD3">
        <w:rPr>
          <w:i/>
        </w:rPr>
        <w:t>Id.</w:t>
      </w:r>
      <w:r w:rsidRPr="001A1FD3">
        <w:t xml:space="preserve"> at 500</w:t>
      </w:r>
      <w:bookmarkEnd w:id="46"/>
      <w:r w:rsidRPr="001A1FD3">
        <w:t xml:space="preserve">. </w:t>
      </w:r>
    </w:p>
    <w:p w14:paraId="32386262" w14:textId="35A73D1E" w:rsidR="001E2F23" w:rsidRPr="001A1FD3" w:rsidRDefault="00491821" w:rsidP="001E2F23">
      <w:pPr>
        <w:spacing w:line="480" w:lineRule="auto"/>
        <w:ind w:firstLine="720"/>
      </w:pPr>
      <w:r w:rsidRPr="001A1FD3">
        <w:t>All four factors weigh against staying this action. First, NLC does not even proffer an estimate as to how long this action would idly sit as the state court proceeds through its litigation. In the absence of any basis for estimating the delay sought, this f</w:t>
      </w:r>
      <w:r w:rsidR="00AF561D">
        <w:t xml:space="preserve">actor weighs against granting an indefinite </w:t>
      </w:r>
      <w:r w:rsidRPr="001A1FD3">
        <w:t xml:space="preserve">stay. </w:t>
      </w:r>
    </w:p>
    <w:p w14:paraId="38231BA6" w14:textId="4EEAE491" w:rsidR="001E2F23" w:rsidRPr="001A1FD3" w:rsidRDefault="00491821" w:rsidP="001E2F23">
      <w:pPr>
        <w:spacing w:line="480" w:lineRule="auto"/>
        <w:ind w:firstLine="720"/>
      </w:pPr>
      <w:r w:rsidRPr="001A1FD3">
        <w:t>Second, there is nothing unusual or extraordinary in a party having to litigate two matter</w:t>
      </w:r>
      <w:r w:rsidR="001E2F23" w:rsidRPr="001A1FD3">
        <w:t>s</w:t>
      </w:r>
      <w:r w:rsidRPr="001A1FD3">
        <w:t xml:space="preserve"> simultaneously. So, whatever minor harm NLC may suffer by litigating this matter is greatly outweighed by the potential prejudice to the United States in delaying access to discovery. It is an ancient and well-accepted principle of American law that delays serve to cause memories to fade, witnesses to have died or disappeared, and evidence to have been lost. </w:t>
      </w:r>
      <w:r w:rsidRPr="001A1FD3">
        <w:rPr>
          <w:i/>
        </w:rPr>
        <w:t xml:space="preserve">See, e.g., </w:t>
      </w:r>
      <w:bookmarkStart w:id="47" w:name="dabmci_06c2a43b367a4daf97903e9a584985b9"/>
      <w:r w:rsidR="00BF041A">
        <w:rPr>
          <w:i/>
        </w:rPr>
        <w:fldChar w:fldCharType="begin"/>
      </w:r>
      <w:r w:rsidR="00BF041A" w:rsidRPr="00BF041A">
        <w:instrText xml:space="preserve"> TA \l "</w:instrText>
      </w:r>
      <w:r w:rsidR="00BF041A" w:rsidRPr="00BF041A">
        <w:rPr>
          <w:i/>
          <w:color w:val="000000"/>
        </w:rPr>
        <w:instrText>Wyeth v. Abbott Labs.</w:instrText>
      </w:r>
      <w:r w:rsidR="00BF041A" w:rsidRPr="00BF041A">
        <w:rPr>
          <w:color w:val="000000"/>
        </w:rPr>
        <w:instrText>,</w:instrText>
      </w:r>
      <w:r w:rsidR="00BF041A" w:rsidRPr="00BF041A">
        <w:rPr>
          <w:color w:val="000000"/>
        </w:rPr>
        <w:br/>
        <w:instrText>No. 09-CV-4850, 2011 WL 380902 (D.N.J. Feb. 1, 2011)</w:instrText>
      </w:r>
      <w:r w:rsidR="00BF041A" w:rsidRPr="00BF041A">
        <w:instrText xml:space="preserve">" \s "dabmci_06c2a43b367a4daf97903e9a584985b9_1" \c 1 </w:instrText>
      </w:r>
      <w:r w:rsidR="00BF041A">
        <w:rPr>
          <w:i/>
        </w:rPr>
        <w:fldChar w:fldCharType="end"/>
      </w:r>
      <w:r w:rsidRPr="001A1FD3">
        <w:rPr>
          <w:i/>
        </w:rPr>
        <w:t>Wyeth v. Abbott Lab</w:t>
      </w:r>
      <w:r w:rsidR="00390E85">
        <w:rPr>
          <w:i/>
        </w:rPr>
        <w:t>s.</w:t>
      </w:r>
      <w:r w:rsidRPr="001A1FD3">
        <w:t xml:space="preserve">, </w:t>
      </w:r>
      <w:r w:rsidR="00A40C9D" w:rsidRPr="001A1FD3">
        <w:t xml:space="preserve">No. 09-CV-4850, </w:t>
      </w:r>
      <w:r w:rsidRPr="001A1FD3">
        <w:t>2011 WL 380902, at *2 (D.N.J. Feb. 1, 2011)</w:t>
      </w:r>
      <w:bookmarkEnd w:id="47"/>
      <w:r w:rsidR="00AF561D">
        <w:t xml:space="preserve"> (denying stay)</w:t>
      </w:r>
      <w:r w:rsidRPr="001A1FD3">
        <w:t xml:space="preserve">; </w:t>
      </w:r>
      <w:r w:rsidRPr="001A1FD3">
        <w:rPr>
          <w:i/>
        </w:rPr>
        <w:lastRenderedPageBreak/>
        <w:t>cf.</w:t>
      </w:r>
      <w:r w:rsidRPr="001A1FD3">
        <w:t xml:space="preserve"> </w:t>
      </w:r>
      <w:bookmarkStart w:id="48" w:name="dabmci_a17f7e485c16480f8fb83f6e8f28d40f"/>
      <w:r w:rsidR="00BF041A">
        <w:fldChar w:fldCharType="begin"/>
      </w:r>
      <w:r w:rsidR="00BF041A" w:rsidRPr="00BF041A">
        <w:instrText xml:space="preserve"> TA \l "</w:instrText>
      </w:r>
      <w:r w:rsidR="00BF041A" w:rsidRPr="00BF041A">
        <w:rPr>
          <w:i/>
          <w:color w:val="000000"/>
        </w:rPr>
        <w:instrText>Dominguez v. United States</w:instrText>
      </w:r>
      <w:r w:rsidR="00BF041A" w:rsidRPr="00BF041A">
        <w:rPr>
          <w:color w:val="000000"/>
        </w:rPr>
        <w:instrText>,</w:instrText>
      </w:r>
      <w:r w:rsidR="00BF041A" w:rsidRPr="00BF041A">
        <w:rPr>
          <w:color w:val="000000"/>
        </w:rPr>
        <w:br/>
        <w:instrText>82 F. Supp. 693 (E.D. Pa. 1949)</w:instrText>
      </w:r>
      <w:r w:rsidR="00BF041A" w:rsidRPr="00BF041A">
        <w:instrText xml:space="preserve">" \s "dabmci_a17f7e485c16480f8fb83f6e8f28d40f_1" \c 1 </w:instrText>
      </w:r>
      <w:r w:rsidR="00BF041A">
        <w:fldChar w:fldCharType="end"/>
      </w:r>
      <w:r w:rsidRPr="001A1FD3">
        <w:rPr>
          <w:i/>
        </w:rPr>
        <w:t>Dominguez v. U</w:t>
      </w:r>
      <w:r w:rsidR="000E3DCA" w:rsidRPr="001A1FD3">
        <w:rPr>
          <w:i/>
        </w:rPr>
        <w:t>nited States</w:t>
      </w:r>
      <w:r w:rsidRPr="001A1FD3">
        <w:t>, 82 F.</w:t>
      </w:r>
      <w:r w:rsidR="001E2F23" w:rsidRPr="001A1FD3">
        <w:t xml:space="preserve"> </w:t>
      </w:r>
      <w:r w:rsidRPr="001A1FD3">
        <w:t>Supp. 693</w:t>
      </w:r>
      <w:r w:rsidR="00395335" w:rsidRPr="001A1FD3">
        <w:t>, 694</w:t>
      </w:r>
      <w:r w:rsidRPr="001A1FD3">
        <w:t xml:space="preserve"> (E.D. Pa. 1949)</w:t>
      </w:r>
      <w:bookmarkEnd w:id="48"/>
      <w:r w:rsidRPr="001A1FD3">
        <w:t xml:space="preserve"> (statutes of limitation and repose are designed to prevent a party from litigating after </w:t>
      </w:r>
      <w:r w:rsidRPr="001A1FD3">
        <w:rPr>
          <w:rFonts w:cs="Arial"/>
          <w:bCs/>
        </w:rPr>
        <w:t>“memories</w:t>
      </w:r>
      <w:r w:rsidRPr="001A1FD3">
        <w:rPr>
          <w:rFonts w:cs="Arial"/>
        </w:rPr>
        <w:t xml:space="preserve"> have </w:t>
      </w:r>
      <w:r w:rsidRPr="001A1FD3">
        <w:rPr>
          <w:rFonts w:cs="Arial"/>
          <w:bCs/>
        </w:rPr>
        <w:t>faded</w:t>
      </w:r>
      <w:r w:rsidRPr="001A1FD3">
        <w:rPr>
          <w:rFonts w:cs="Arial"/>
        </w:rPr>
        <w:t xml:space="preserve">, </w:t>
      </w:r>
      <w:r w:rsidRPr="001A1FD3">
        <w:rPr>
          <w:rFonts w:cs="Arial"/>
          <w:bCs/>
        </w:rPr>
        <w:t>witnesses</w:t>
      </w:r>
      <w:r w:rsidRPr="001A1FD3">
        <w:rPr>
          <w:rFonts w:cs="Arial"/>
        </w:rPr>
        <w:t xml:space="preserve"> have died or disappeared, and evidence has been lost”</w:t>
      </w:r>
      <w:r w:rsidRPr="001A1FD3">
        <w:t>)</w:t>
      </w:r>
      <w:r w:rsidR="001E2F23" w:rsidRPr="001A1FD3">
        <w:t>.</w:t>
      </w:r>
    </w:p>
    <w:p w14:paraId="35E8852C" w14:textId="52A568B9" w:rsidR="001E2F23" w:rsidRPr="001A1FD3" w:rsidRDefault="00491821" w:rsidP="00EA09D2">
      <w:pPr>
        <w:spacing w:line="480" w:lineRule="auto"/>
        <w:ind w:firstLine="720"/>
      </w:pPr>
      <w:r w:rsidRPr="001A1FD3">
        <w:t>Third,</w:t>
      </w:r>
      <w:r w:rsidR="0023472F" w:rsidRPr="001A1FD3">
        <w:t xml:space="preserve"> as noted above,</w:t>
      </w:r>
      <w:r w:rsidRPr="001A1FD3">
        <w:t xml:space="preserve"> the interests of the public strongly weigh against sta</w:t>
      </w:r>
      <w:r w:rsidR="0023472F" w:rsidRPr="001A1FD3">
        <w:t xml:space="preserve">ying the action. </w:t>
      </w:r>
      <w:r w:rsidRPr="001A1FD3">
        <w:t xml:space="preserve">Despite NLC’s efforts to paint this action as a </w:t>
      </w:r>
      <w:r w:rsidR="0023472F" w:rsidRPr="001A1FD3">
        <w:t>dispute</w:t>
      </w:r>
      <w:r w:rsidRPr="001A1FD3">
        <w:t xml:space="preserve"> between </w:t>
      </w:r>
      <w:r w:rsidR="00EA09D2">
        <w:t>it</w:t>
      </w:r>
      <w:r w:rsidR="007B39FA">
        <w:t xml:space="preserve"> </w:t>
      </w:r>
      <w:r w:rsidRPr="001A1FD3">
        <w:t>and M.M. and her family, this is an action brought through the enforcement power of the Attorney General</w:t>
      </w:r>
      <w:r w:rsidR="0023472F" w:rsidRPr="001A1FD3">
        <w:t xml:space="preserve"> of the United States to vindicate an issue of general public importance</w:t>
      </w:r>
      <w:r w:rsidRPr="001A1FD3">
        <w:t>. To stay this action</w:t>
      </w:r>
      <w:r w:rsidR="005F40F8">
        <w:t xml:space="preserve"> infringes on </w:t>
      </w:r>
      <w:r w:rsidR="0023472F" w:rsidRPr="001A1FD3">
        <w:t xml:space="preserve">that </w:t>
      </w:r>
      <w:r w:rsidRPr="001A1FD3">
        <w:t xml:space="preserve">enforcement authority. </w:t>
      </w:r>
      <w:r w:rsidRPr="001A1FD3">
        <w:rPr>
          <w:i/>
        </w:rPr>
        <w:t xml:space="preserve">See, e.g., $1,879,991.64 Previously Contained in </w:t>
      </w:r>
      <w:bookmarkStart w:id="49" w:name="dabmci_587bfccc438f45bb8d417b5d9b62f687"/>
      <w:r w:rsidR="00BF041A">
        <w:rPr>
          <w:i/>
        </w:rPr>
        <w:fldChar w:fldCharType="begin"/>
      </w:r>
      <w:r w:rsidR="00BF041A" w:rsidRPr="00BF041A">
        <w:instrText xml:space="preserve"> TA \l "</w:instrText>
      </w:r>
      <w:r w:rsidR="00BF041A" w:rsidRPr="00BF041A">
        <w:rPr>
          <w:i/>
          <w:color w:val="000000"/>
        </w:rPr>
        <w:instrText>Sberbank of Russia’s Interbank</w:instrText>
      </w:r>
      <w:r w:rsidR="00BF041A" w:rsidRPr="00BF041A">
        <w:rPr>
          <w:color w:val="000000"/>
        </w:rPr>
        <w:instrText>,</w:instrText>
      </w:r>
      <w:r w:rsidR="00BF041A" w:rsidRPr="00BF041A">
        <w:rPr>
          <w:color w:val="000000"/>
        </w:rPr>
        <w:br/>
        <w:instrText>185 F. Supp. 3d 493 (D.N.J. 2016)</w:instrText>
      </w:r>
      <w:r w:rsidR="00BF041A" w:rsidRPr="00BF041A">
        <w:instrText xml:space="preserve">" \s "dabmci_13ed7c8b18d4416ba4c97a9b3bf7951a_3" \c 1 </w:instrText>
      </w:r>
      <w:r w:rsidR="00BF041A">
        <w:rPr>
          <w:i/>
        </w:rPr>
        <w:fldChar w:fldCharType="end"/>
      </w:r>
      <w:r w:rsidRPr="001A1FD3">
        <w:rPr>
          <w:i/>
        </w:rPr>
        <w:t>Sberbank of Russia’s Interbank</w:t>
      </w:r>
      <w:r w:rsidRPr="001A1FD3">
        <w:t>, 185 F.</w:t>
      </w:r>
      <w:r w:rsidR="001E2F23" w:rsidRPr="001A1FD3">
        <w:t xml:space="preserve"> </w:t>
      </w:r>
      <w:r w:rsidRPr="001A1FD3">
        <w:t>Supp. 3d at 501</w:t>
      </w:r>
      <w:bookmarkEnd w:id="49"/>
      <w:r w:rsidRPr="001A1FD3">
        <w:t xml:space="preserve"> (</w:t>
      </w:r>
      <w:r w:rsidR="00EA09D2">
        <w:t>holding that a stay would “work against public interest” by “infring[ing] upon the discretionary authority of the Attorney General”)</w:t>
      </w:r>
      <w:r w:rsidR="000E3DCA" w:rsidRPr="001A1FD3">
        <w:t>.</w:t>
      </w:r>
    </w:p>
    <w:p w14:paraId="0F9755E5" w14:textId="36AE7D52" w:rsidR="00C528B7" w:rsidRPr="00196E48" w:rsidRDefault="00491821" w:rsidP="00196E48">
      <w:pPr>
        <w:spacing w:line="480" w:lineRule="auto"/>
        <w:ind w:firstLine="720"/>
      </w:pPr>
      <w:r w:rsidRPr="001A1FD3">
        <w:t>Finally, staying this action in no way advance</w:t>
      </w:r>
      <w:r w:rsidR="0023472F" w:rsidRPr="001A1FD3">
        <w:t>s</w:t>
      </w:r>
      <w:r w:rsidRPr="001A1FD3">
        <w:t xml:space="preserve"> judicial economy. This is a federal action, involving the United States’ enforcement authority over federal law. The state court will not</w:t>
      </w:r>
      <w:r w:rsidR="0023472F" w:rsidRPr="001A1FD3">
        <w:t xml:space="preserve"> make any determinations regarding </w:t>
      </w:r>
      <w:r w:rsidR="00196E48">
        <w:t>this</w:t>
      </w:r>
      <w:r w:rsidR="00814588">
        <w:t xml:space="preserve"> </w:t>
      </w:r>
      <w:r w:rsidR="00814588">
        <w:lastRenderedPageBreak/>
        <w:t>action because the s</w:t>
      </w:r>
      <w:r w:rsidR="0023472F" w:rsidRPr="001A1FD3">
        <w:t xml:space="preserve">tate </w:t>
      </w:r>
      <w:r w:rsidR="00814588">
        <w:t>c</w:t>
      </w:r>
      <w:r w:rsidR="0023472F" w:rsidRPr="001A1FD3">
        <w:t xml:space="preserve">ourt will not rule on the ADA. </w:t>
      </w:r>
      <w:r w:rsidRPr="001A1FD3">
        <w:t>The delay sought by NLC serves no l</w:t>
      </w:r>
      <w:r w:rsidR="001E2F23" w:rsidRPr="001A1FD3">
        <w:t>egitimate purpose</w:t>
      </w:r>
      <w:r w:rsidR="00395335" w:rsidRPr="001A1FD3">
        <w:t>—</w:t>
      </w:r>
      <w:r w:rsidR="00196E48">
        <w:t xml:space="preserve">just delay. </w:t>
      </w:r>
      <w:r w:rsidRPr="001A1FD3">
        <w:t xml:space="preserve">Accordingly, there is no basis in law or fact for this Court to abstain, dismiss or stay this action, whether pursuant to the </w:t>
      </w:r>
      <w:r w:rsidRPr="001A1FD3">
        <w:rPr>
          <w:i/>
        </w:rPr>
        <w:t xml:space="preserve">Colorado River </w:t>
      </w:r>
      <w:r w:rsidRPr="001A1FD3">
        <w:t>Doctrine, its inherent power to manage its docket or any other basis.</w:t>
      </w:r>
      <w:r w:rsidR="00C528B7" w:rsidRPr="00C528B7">
        <w:rPr>
          <w:caps/>
        </w:rPr>
        <w:t xml:space="preserve"> </w:t>
      </w:r>
    </w:p>
    <w:p w14:paraId="28882719" w14:textId="5B1C7CFA" w:rsidR="00C528B7" w:rsidRPr="00C528B7" w:rsidRDefault="00C528B7" w:rsidP="00BA0E3A">
      <w:pPr>
        <w:pStyle w:val="Heading2"/>
        <w:rPr>
          <w:caps/>
          <w:szCs w:val="24"/>
        </w:rPr>
      </w:pPr>
      <w:bookmarkStart w:id="50" w:name="_Toc481414274"/>
      <w:r>
        <w:rPr>
          <w:caps/>
          <w:szCs w:val="24"/>
          <w:u w:val="none"/>
        </w:rPr>
        <w:t>nlc’s collateral estoppel argument fails</w:t>
      </w:r>
      <w:bookmarkEnd w:id="50"/>
      <w:r w:rsidRPr="00C528B7">
        <w:rPr>
          <w:caps/>
          <w:szCs w:val="24"/>
          <w:u w:val="none"/>
        </w:rPr>
        <w:t xml:space="preserve"> </w:t>
      </w:r>
    </w:p>
    <w:p w14:paraId="0A6ECF26" w14:textId="3A496727" w:rsidR="00351608" w:rsidRDefault="000E3DCA" w:rsidP="000E3DCA">
      <w:pPr>
        <w:spacing w:line="480" w:lineRule="auto"/>
        <w:ind w:firstLine="720"/>
      </w:pPr>
      <w:r w:rsidRPr="001A1FD3">
        <w:t xml:space="preserve">Pointing to two interlocutory decisions from a 2009 lawsuit brought by the United States against NLC in the Eastern District of Pennsylvania, NLC contends that the United States is collaterally estopped from asserting an associational discrimination claim </w:t>
      </w:r>
      <w:r w:rsidR="00CA6117" w:rsidRPr="001A1FD3">
        <w:t xml:space="preserve">regarding </w:t>
      </w:r>
      <w:r w:rsidR="00E46DD2" w:rsidRPr="001A1FD3">
        <w:t xml:space="preserve">the discrimination suffered by </w:t>
      </w:r>
      <w:r w:rsidRPr="001A1FD3">
        <w:t xml:space="preserve">M.M.’s parents. </w:t>
      </w:r>
      <w:r w:rsidR="00DF622C" w:rsidRPr="001A1FD3">
        <w:t xml:space="preserve">NLC </w:t>
      </w:r>
      <w:r w:rsidR="00C37065" w:rsidRPr="001A1FD3">
        <w:t xml:space="preserve">Br. at 30. </w:t>
      </w:r>
      <w:r w:rsidR="00351608">
        <w:t xml:space="preserve">NLC’s argument fails for two reasons: </w:t>
      </w:r>
      <w:r w:rsidR="00351608">
        <w:rPr>
          <w:i/>
        </w:rPr>
        <w:t>First</w:t>
      </w:r>
      <w:r w:rsidR="00351608">
        <w:t xml:space="preserve">, the parties settled </w:t>
      </w:r>
      <w:r w:rsidR="00814588">
        <w:t xml:space="preserve">the </w:t>
      </w:r>
      <w:r w:rsidR="00351608">
        <w:t>2009 lawsuit and that agreement expressly allows the United States to sue NLC for violating a</w:t>
      </w:r>
      <w:r w:rsidR="00196E48">
        <w:t xml:space="preserve">ny provision of the ADA, </w:t>
      </w:r>
      <w:r w:rsidR="00351608">
        <w:t xml:space="preserve">including </w:t>
      </w:r>
      <w:bookmarkStart w:id="51" w:name="dabmci_c26313f158b248db8478b69a8f410063"/>
      <w:r w:rsidR="00BF041A">
        <w:fldChar w:fldCharType="begin"/>
      </w:r>
      <w:r w:rsidR="00BF041A" w:rsidRPr="00BF041A">
        <w:instrText xml:space="preserve"> TA \l "</w:instrText>
      </w:r>
      <w:r w:rsidR="00BF041A" w:rsidRPr="00BF041A">
        <w:rPr>
          <w:color w:val="000000"/>
        </w:rPr>
        <w:instrText>42 U.S.C. § 12182(b)(1)(E)</w:instrText>
      </w:r>
      <w:r w:rsidR="00BF041A" w:rsidRPr="00BF041A">
        <w:instrText xml:space="preserve">" \s "dabmci_2c343c04c17d4b39827170d14e44d8f1_4" \c 2 </w:instrText>
      </w:r>
      <w:r w:rsidR="00BF041A">
        <w:fldChar w:fldCharType="end"/>
      </w:r>
      <w:r w:rsidR="00351608">
        <w:t>42 U.S.C. § 12182(b)(1)(E)</w:t>
      </w:r>
      <w:bookmarkEnd w:id="51"/>
      <w:r w:rsidR="00351608">
        <w:t xml:space="preserve">. </w:t>
      </w:r>
      <w:r w:rsidR="00351608">
        <w:rPr>
          <w:i/>
        </w:rPr>
        <w:t>Second</w:t>
      </w:r>
      <w:r w:rsidR="00351608">
        <w:t xml:space="preserve">, </w:t>
      </w:r>
      <w:r w:rsidR="00B3362D">
        <w:t xml:space="preserve">the decisions from the 2009 lawsuit </w:t>
      </w:r>
      <w:r w:rsidR="007E48CD">
        <w:t>are not</w:t>
      </w:r>
      <w:r w:rsidR="007E48CD" w:rsidRPr="007E48CD">
        <w:t xml:space="preserve"> “sufficiently firm to be accorded conclusive effect.”</w:t>
      </w:r>
      <w:r w:rsidR="007E48CD">
        <w:t xml:space="preserve"> </w:t>
      </w:r>
      <w:bookmarkStart w:id="52" w:name="dabmci_7fdaaea459af4191bb1c6b2908a3c258"/>
      <w:r w:rsidR="00BF041A">
        <w:fldChar w:fldCharType="begin"/>
      </w:r>
      <w:r w:rsidR="00BF041A" w:rsidRPr="00BF041A">
        <w:instrText xml:space="preserve"> TA \l "</w:instrText>
      </w:r>
      <w:r w:rsidR="00BF041A" w:rsidRPr="00BF041A">
        <w:rPr>
          <w:i/>
          <w:color w:val="000000"/>
        </w:rPr>
        <w:instrText>Burlington N. R.R. Co. v. Hyundai Merchant Marine Co., Ltd.</w:instrText>
      </w:r>
      <w:r w:rsidR="00BF041A" w:rsidRPr="00BF041A">
        <w:rPr>
          <w:color w:val="000000"/>
        </w:rPr>
        <w:instrText>,</w:instrText>
      </w:r>
      <w:r w:rsidR="00BF041A" w:rsidRPr="00BF041A">
        <w:rPr>
          <w:color w:val="000000"/>
        </w:rPr>
        <w:br/>
        <w:instrText>63 F.2d 1227</w:instrText>
      </w:r>
      <w:r w:rsidR="00BF041A" w:rsidRPr="00BF041A">
        <w:instrText xml:space="preserve">" \s "dabmci_7fdaaea459af4191bb1c6b2908a3c258_1" \c 1 </w:instrText>
      </w:r>
      <w:r w:rsidR="00BF041A">
        <w:fldChar w:fldCharType="end"/>
      </w:r>
      <w:r w:rsidR="00351608" w:rsidRPr="001A1FD3">
        <w:rPr>
          <w:i/>
        </w:rPr>
        <w:t>Burlington N. R.R. Co. v. Hyundai Merchant Marine Co., Ltd.</w:t>
      </w:r>
      <w:r w:rsidR="00351608" w:rsidRPr="001A1FD3">
        <w:t>, 63 F.</w:t>
      </w:r>
      <w:r w:rsidR="00BF041A">
        <w:t>3</w:t>
      </w:r>
      <w:r w:rsidR="00351608" w:rsidRPr="001A1FD3">
        <w:t xml:space="preserve">d 1227, </w:t>
      </w:r>
      <w:r w:rsidR="00351608">
        <w:t>1233</w:t>
      </w:r>
      <w:bookmarkEnd w:id="52"/>
      <w:r w:rsidR="00351608">
        <w:t xml:space="preserve"> n.8. (3d Cir. 1995).</w:t>
      </w:r>
    </w:p>
    <w:p w14:paraId="322BB293" w14:textId="2957BD81" w:rsidR="00F209AF" w:rsidRPr="001A1FD3" w:rsidRDefault="00F209AF" w:rsidP="00F209AF">
      <w:pPr>
        <w:pStyle w:val="Heading3"/>
        <w:numPr>
          <w:ilvl w:val="0"/>
          <w:numId w:val="12"/>
        </w:numPr>
      </w:pPr>
      <w:bookmarkStart w:id="53" w:name="_Toc481414275"/>
      <w:r>
        <w:lastRenderedPageBreak/>
        <w:t>NLC’s Collateral Estoppel Argument is Foreclosed by the Terms of the Parties</w:t>
      </w:r>
      <w:r w:rsidR="00351608">
        <w:t>’</w:t>
      </w:r>
      <w:r>
        <w:t xml:space="preserve"> Settlement Agreement</w:t>
      </w:r>
      <w:bookmarkEnd w:id="53"/>
      <w:r>
        <w:t xml:space="preserve"> </w:t>
      </w:r>
    </w:p>
    <w:p w14:paraId="413AC121" w14:textId="6C51A017" w:rsidR="00344940" w:rsidRDefault="00E9537B" w:rsidP="00344940">
      <w:pPr>
        <w:spacing w:line="480" w:lineRule="auto"/>
        <w:ind w:firstLine="720"/>
      </w:pPr>
      <w:r w:rsidRPr="001A1FD3">
        <w:t xml:space="preserve">In </w:t>
      </w:r>
      <w:r w:rsidR="00351608">
        <w:t xml:space="preserve">the </w:t>
      </w:r>
      <w:r w:rsidRPr="001A1FD3">
        <w:t>2009</w:t>
      </w:r>
      <w:r w:rsidR="00351608">
        <w:t xml:space="preserve"> lawsuit</w:t>
      </w:r>
      <w:r w:rsidRPr="001A1FD3">
        <w:t xml:space="preserve">, </w:t>
      </w:r>
      <w:r w:rsidR="00C37065" w:rsidRPr="001A1FD3">
        <w:t xml:space="preserve">the United States </w:t>
      </w:r>
      <w:r w:rsidR="00351608">
        <w:t xml:space="preserve">asserted claims against NLC under the ADA for </w:t>
      </w:r>
      <w:r w:rsidR="00E46DD2" w:rsidRPr="001A1FD3">
        <w:t>discrimination agai</w:t>
      </w:r>
      <w:r w:rsidR="002D1E2E">
        <w:t>nst children with disabilities and their families</w:t>
      </w:r>
      <w:r w:rsidR="00E46DD2" w:rsidRPr="001A1FD3">
        <w:t xml:space="preserve"> that occurred at several NLC-owned centers</w:t>
      </w:r>
      <w:r w:rsidR="00351608">
        <w:t xml:space="preserve"> in Pennsylvania</w:t>
      </w:r>
      <w:r w:rsidR="00E46DD2" w:rsidRPr="001A1FD3">
        <w:t xml:space="preserve">. </w:t>
      </w:r>
      <w:r w:rsidR="00196E48">
        <w:t xml:space="preserve">Decl. of David Simunovich (“Simunovich Decl.”), Exh. A (2009 complaint) </w:t>
      </w:r>
      <w:r w:rsidRPr="001A1FD3">
        <w:t xml:space="preserve">at 9. Among other claims, the United States </w:t>
      </w:r>
      <w:r w:rsidR="00196E48">
        <w:t xml:space="preserve">claimed that, when NLC expelled the children because of their disabilities, NLC also deprived their parents of equal access to its child care </w:t>
      </w:r>
      <w:r w:rsidR="002D1E2E">
        <w:t>services</w:t>
      </w:r>
      <w:r w:rsidR="00196E48">
        <w:t xml:space="preserve"> in violation of § 12182</w:t>
      </w:r>
      <w:r w:rsidRPr="001A1FD3">
        <w:t>(b)(1)(E)</w:t>
      </w:r>
      <w:r w:rsidR="00196E48">
        <w:t>.</w:t>
      </w:r>
      <w:r w:rsidRPr="001A1FD3">
        <w:t xml:space="preserve"> </w:t>
      </w:r>
      <w:r w:rsidR="00196E48">
        <w:rPr>
          <w:i/>
        </w:rPr>
        <w:t>Id.</w:t>
      </w:r>
      <w:r w:rsidR="00196E48">
        <w:t>; Simunovich Dec</w:t>
      </w:r>
      <w:r w:rsidR="00C37065" w:rsidRPr="001A1FD3">
        <w:t xml:space="preserve">., </w:t>
      </w:r>
      <w:r w:rsidR="00A40C9D" w:rsidRPr="001A1FD3">
        <w:t>Exh.</w:t>
      </w:r>
      <w:r w:rsidR="00C37065" w:rsidRPr="001A1FD3">
        <w:t xml:space="preserve"> </w:t>
      </w:r>
      <w:r w:rsidR="00196E48">
        <w:t xml:space="preserve">B </w:t>
      </w:r>
      <w:r w:rsidR="00FC2EEE" w:rsidRPr="001A1FD3">
        <w:t>(</w:t>
      </w:r>
      <w:r w:rsidR="00196E48">
        <w:t>United States’</w:t>
      </w:r>
      <w:r w:rsidR="00FC2EEE" w:rsidRPr="001A1FD3">
        <w:t xml:space="preserve"> Brief, dated July 22, 2009), at 29-49</w:t>
      </w:r>
      <w:r w:rsidR="00C37065" w:rsidRPr="001A1FD3">
        <w:t xml:space="preserve">. </w:t>
      </w:r>
      <w:r w:rsidR="00351608">
        <w:t xml:space="preserve">Before discovery, </w:t>
      </w:r>
      <w:r w:rsidR="00C37065" w:rsidRPr="001A1FD3">
        <w:t xml:space="preserve">NLC </w:t>
      </w:r>
      <w:r w:rsidR="00351608">
        <w:t xml:space="preserve">brought </w:t>
      </w:r>
      <w:r w:rsidR="00C37065" w:rsidRPr="001A1FD3">
        <w:t xml:space="preserve">a partial motion to dismiss, arguing that </w:t>
      </w:r>
      <w:r w:rsidR="00344940">
        <w:t>the parents were not denied services</w:t>
      </w:r>
      <w:r w:rsidR="002D1E2E">
        <w:t xml:space="preserve"> and</w:t>
      </w:r>
      <w:r w:rsidR="00344940">
        <w:t>, therefore, any discrimination they suffered was not actionable.</w:t>
      </w:r>
      <w:r w:rsidR="00196E48">
        <w:t xml:space="preserve"> Simunovich Dec</w:t>
      </w:r>
      <w:r w:rsidR="00C37065" w:rsidRPr="001A1FD3">
        <w:t>.</w:t>
      </w:r>
      <w:r w:rsidR="00B71B4E" w:rsidRPr="001A1FD3">
        <w:t xml:space="preserve">, </w:t>
      </w:r>
      <w:r w:rsidR="00A40C9D" w:rsidRPr="001A1FD3">
        <w:t xml:space="preserve">Exh. </w:t>
      </w:r>
      <w:r w:rsidR="00196E48">
        <w:t>C</w:t>
      </w:r>
      <w:r w:rsidR="00B71B4E" w:rsidRPr="001A1FD3">
        <w:t xml:space="preserve"> (NLC</w:t>
      </w:r>
      <w:r w:rsidR="00196E48">
        <w:t>’s</w:t>
      </w:r>
      <w:r w:rsidR="00B71B4E" w:rsidRPr="001A1FD3">
        <w:t xml:space="preserve"> Brief, dated June 26, 2009) at 22-29</w:t>
      </w:r>
      <w:r w:rsidR="00C37065" w:rsidRPr="001A1FD3">
        <w:t xml:space="preserve">. </w:t>
      </w:r>
    </w:p>
    <w:p w14:paraId="1FE3B4AD" w14:textId="7654F00D" w:rsidR="00C37065" w:rsidRPr="001A1FD3" w:rsidRDefault="008239F9" w:rsidP="00344940">
      <w:pPr>
        <w:spacing w:line="480" w:lineRule="auto"/>
        <w:ind w:firstLine="720"/>
      </w:pPr>
      <w:r w:rsidRPr="001A1FD3">
        <w:t>T</w:t>
      </w:r>
      <w:r w:rsidR="00B71B4E" w:rsidRPr="001A1FD3">
        <w:t xml:space="preserve">he District Court </w:t>
      </w:r>
      <w:r w:rsidRPr="001A1FD3">
        <w:t xml:space="preserve">ultimately </w:t>
      </w:r>
      <w:r w:rsidR="00C37065" w:rsidRPr="001A1FD3">
        <w:t xml:space="preserve">sided with NLC </w:t>
      </w:r>
      <w:r w:rsidR="00B71B4E" w:rsidRPr="001A1FD3">
        <w:t>on that issue</w:t>
      </w:r>
      <w:r w:rsidR="00344940">
        <w:t xml:space="preserve"> and</w:t>
      </w:r>
      <w:r w:rsidR="00326A1B" w:rsidRPr="001A1FD3">
        <w:t xml:space="preserve"> </w:t>
      </w:r>
      <w:r w:rsidR="00344940">
        <w:t>granted</w:t>
      </w:r>
      <w:r w:rsidR="00326A1B" w:rsidRPr="001A1FD3">
        <w:t xml:space="preserve"> that part of NLC’s partial motion to dismiss</w:t>
      </w:r>
      <w:r w:rsidR="00B71B4E" w:rsidRPr="001A1FD3">
        <w:t>.</w:t>
      </w:r>
      <w:r w:rsidR="00344940">
        <w:rPr>
          <w:i/>
        </w:rPr>
        <w:t xml:space="preserve"> </w:t>
      </w:r>
      <w:bookmarkStart w:id="54" w:name="dabmci_38c907d2434e41d19c75039a34350f99"/>
      <w:r w:rsidR="00BF041A">
        <w:rPr>
          <w:i/>
        </w:rPr>
        <w:fldChar w:fldCharType="begin"/>
      </w:r>
      <w:r w:rsidR="00BF041A" w:rsidRPr="00BF041A">
        <w:instrText xml:space="preserve"> TA \l "</w:instrText>
      </w:r>
      <w:r w:rsidR="00BF041A" w:rsidRPr="00BF041A">
        <w:rPr>
          <w:i/>
          <w:color w:val="000000"/>
        </w:rPr>
        <w:instrText>United States v. Nobel Learning Cmtys., Inc.</w:instrText>
      </w:r>
      <w:r w:rsidR="00BF041A" w:rsidRPr="00BF041A">
        <w:rPr>
          <w:color w:val="000000"/>
        </w:rPr>
        <w:instrText>,</w:instrText>
      </w:r>
      <w:r w:rsidR="00BF041A" w:rsidRPr="00BF041A">
        <w:rPr>
          <w:color w:val="000000"/>
        </w:rPr>
        <w:br/>
        <w:instrText>676 F. Supp. 2d 379 (E.D. Pa. 2009)</w:instrText>
      </w:r>
      <w:r w:rsidR="00BF041A" w:rsidRPr="00BF041A">
        <w:instrText xml:space="preserve">" \s "dabmci_38c907d2434e41d19c75039a34350f99_4" \c 1 </w:instrText>
      </w:r>
      <w:r w:rsidR="00BF041A">
        <w:rPr>
          <w:i/>
        </w:rPr>
        <w:fldChar w:fldCharType="end"/>
      </w:r>
      <w:r w:rsidR="00B71B4E" w:rsidRPr="001A1FD3">
        <w:rPr>
          <w:i/>
        </w:rPr>
        <w:t>United States v. Nobel Learning Cmtys., Inc.</w:t>
      </w:r>
      <w:r w:rsidR="00B71B4E" w:rsidRPr="001A1FD3">
        <w:t>, 676 F. Supp. 2d 379, 388 (E.D. Pa. 2009)</w:t>
      </w:r>
      <w:bookmarkEnd w:id="54"/>
      <w:r w:rsidR="00B71B4E" w:rsidRPr="001A1FD3">
        <w:t xml:space="preserve"> (hereinafter “</w:t>
      </w:r>
      <w:r w:rsidR="00B71B4E" w:rsidRPr="001A1FD3">
        <w:rPr>
          <w:i/>
        </w:rPr>
        <w:t xml:space="preserve">NLC </w:t>
      </w:r>
      <w:r w:rsidR="00B71B4E" w:rsidRPr="001A1FD3">
        <w:rPr>
          <w:i/>
        </w:rPr>
        <w:lastRenderedPageBreak/>
        <w:t>I</w:t>
      </w:r>
      <w:r w:rsidR="00B71B4E" w:rsidRPr="001A1FD3">
        <w:t>”)</w:t>
      </w:r>
      <w:r w:rsidR="00C37065" w:rsidRPr="001A1FD3">
        <w:t xml:space="preserve">. </w:t>
      </w:r>
      <w:r w:rsidR="00B71B4E" w:rsidRPr="001A1FD3">
        <w:t xml:space="preserve">The </w:t>
      </w:r>
      <w:r w:rsidR="00344940">
        <w:t>c</w:t>
      </w:r>
      <w:r w:rsidR="00B71B4E" w:rsidRPr="001A1FD3">
        <w:t xml:space="preserve">ourt </w:t>
      </w:r>
      <w:r w:rsidR="00326A1B" w:rsidRPr="001A1FD3">
        <w:t xml:space="preserve">held that </w:t>
      </w:r>
      <w:r w:rsidR="00C37065" w:rsidRPr="001A1FD3">
        <w:t xml:space="preserve">any discrimination suffered by </w:t>
      </w:r>
      <w:r w:rsidR="00326A1B" w:rsidRPr="001A1FD3">
        <w:t xml:space="preserve">the </w:t>
      </w:r>
      <w:r w:rsidR="00C37065" w:rsidRPr="001A1FD3">
        <w:t xml:space="preserve">parents was </w:t>
      </w:r>
      <w:r w:rsidR="00B71B4E" w:rsidRPr="001A1FD3">
        <w:t>“indirect”</w:t>
      </w:r>
      <w:r w:rsidR="00C37065" w:rsidRPr="001A1FD3">
        <w:t xml:space="preserve"> and</w:t>
      </w:r>
      <w:r w:rsidR="00B71B4E" w:rsidRPr="001A1FD3">
        <w:t>,</w:t>
      </w:r>
      <w:r w:rsidR="00C37065" w:rsidRPr="001A1FD3">
        <w:t xml:space="preserve"> therefore</w:t>
      </w:r>
      <w:r w:rsidR="00B71B4E" w:rsidRPr="001A1FD3">
        <w:t>,</w:t>
      </w:r>
      <w:r w:rsidR="00C37065" w:rsidRPr="001A1FD3">
        <w:t xml:space="preserve"> not </w:t>
      </w:r>
      <w:r w:rsidR="00344940">
        <w:t xml:space="preserve">covered </w:t>
      </w:r>
      <w:r w:rsidR="00814588">
        <w:t xml:space="preserve">by </w:t>
      </w:r>
      <w:r w:rsidR="00344940">
        <w:t>§ 12182(b)(1)(E)</w:t>
      </w:r>
      <w:r w:rsidR="00C37065" w:rsidRPr="001A1FD3">
        <w:t xml:space="preserve">. </w:t>
      </w:r>
      <w:bookmarkStart w:id="55" w:name="dabmci_3636e9c75dce4944b0dc4ad69be8d8e9"/>
      <w:r w:rsidR="00BF041A">
        <w:fldChar w:fldCharType="begin"/>
      </w:r>
      <w:r w:rsidR="00BF041A" w:rsidRPr="00BF041A">
        <w:instrText xml:space="preserve"> TA \l "</w:instrText>
      </w:r>
      <w:r w:rsidR="00BF041A" w:rsidRPr="00BF041A">
        <w:rPr>
          <w:i/>
          <w:color w:val="000000"/>
        </w:rPr>
        <w:instrText>United States v. Nobel Learning Cmtys., Inc.</w:instrText>
      </w:r>
      <w:r w:rsidR="00BF041A" w:rsidRPr="00BF041A">
        <w:rPr>
          <w:color w:val="000000"/>
        </w:rPr>
        <w:instrText>,</w:instrText>
      </w:r>
      <w:r w:rsidR="00BF041A" w:rsidRPr="00BF041A">
        <w:rPr>
          <w:color w:val="000000"/>
        </w:rPr>
        <w:br/>
        <w:instrText>676 F. Supp. 2d 379 (E.D. Pa. 2009)</w:instrText>
      </w:r>
      <w:r w:rsidR="00BF041A" w:rsidRPr="00BF041A">
        <w:instrText xml:space="preserve">" \s "dabmci_38c907d2434e41d19c75039a34350f99_4" \c 1 </w:instrText>
      </w:r>
      <w:r w:rsidR="00BF041A">
        <w:fldChar w:fldCharType="end"/>
      </w:r>
      <w:r w:rsidR="00C37065" w:rsidRPr="001A1FD3">
        <w:rPr>
          <w:i/>
        </w:rPr>
        <w:t>Id</w:t>
      </w:r>
      <w:r w:rsidR="00C37065" w:rsidRPr="001A1FD3">
        <w:t>.</w:t>
      </w:r>
      <w:bookmarkEnd w:id="55"/>
      <w:r w:rsidR="00161CFC" w:rsidRPr="001A1FD3">
        <w:t xml:space="preserve"> </w:t>
      </w:r>
      <w:r w:rsidR="00344940">
        <w:t>T</w:t>
      </w:r>
      <w:r w:rsidR="00161CFC" w:rsidRPr="001A1FD3">
        <w:t>he United States sought to amend the Complaint by pleading with greater specificity the harm suffered by the parents (and siblings of the c</w:t>
      </w:r>
      <w:r w:rsidR="00344940">
        <w:t xml:space="preserve">hildren who were expelled), but </w:t>
      </w:r>
      <w:r w:rsidR="00161CFC" w:rsidRPr="001A1FD3">
        <w:t xml:space="preserve">the Court </w:t>
      </w:r>
      <w:r w:rsidR="00344940">
        <w:t xml:space="preserve">rejected those </w:t>
      </w:r>
      <w:r w:rsidR="00326A1B" w:rsidRPr="001A1FD3">
        <w:t xml:space="preserve">proposed </w:t>
      </w:r>
      <w:r w:rsidR="00161CFC" w:rsidRPr="001A1FD3">
        <w:t xml:space="preserve">amendments as “futile,” based again on the notion that harm suffered by anyone other than the </w:t>
      </w:r>
      <w:r w:rsidR="00FC2EEE">
        <w:t xml:space="preserve">expelled </w:t>
      </w:r>
      <w:r w:rsidR="00161CFC" w:rsidRPr="001A1FD3">
        <w:t xml:space="preserve">children was “derivative” and therefore not covered by </w:t>
      </w:r>
      <w:r w:rsidR="002D1E2E">
        <w:br/>
      </w:r>
      <w:bookmarkStart w:id="56" w:name="dabmci_db9ff9084bb1406cafaefe491b951cc2"/>
      <w:r w:rsidR="00BF041A">
        <w:fldChar w:fldCharType="begin"/>
      </w:r>
      <w:r w:rsidR="00BF041A" w:rsidRPr="00BF041A">
        <w:instrText xml:space="preserve"> TA \l "</w:instrText>
      </w:r>
      <w:r w:rsidR="00BF041A" w:rsidRPr="00BF041A">
        <w:rPr>
          <w:color w:val="000000"/>
        </w:rPr>
        <w:instrText>42 U.S.C. § 12182(b)(1)(E)</w:instrText>
      </w:r>
      <w:r w:rsidR="00BF041A" w:rsidRPr="00BF041A">
        <w:instrText xml:space="preserve">" \s "dabmci_2c343c04c17d4b39827170d14e44d8f1_4" \c 2 </w:instrText>
      </w:r>
      <w:r w:rsidR="00BF041A">
        <w:fldChar w:fldCharType="end"/>
      </w:r>
      <w:r w:rsidR="00161CFC" w:rsidRPr="001A1FD3">
        <w:t>§ 12182(b)(1)(E)</w:t>
      </w:r>
      <w:bookmarkEnd w:id="56"/>
      <w:r w:rsidR="00161CFC" w:rsidRPr="001A1FD3">
        <w:t xml:space="preserve">. </w:t>
      </w:r>
      <w:r w:rsidR="00161CFC" w:rsidRPr="001A1FD3">
        <w:rPr>
          <w:i/>
        </w:rPr>
        <w:t>United States v. Nobel Learning Cmtys., Inc.</w:t>
      </w:r>
      <w:r w:rsidR="00161CFC" w:rsidRPr="001A1FD3">
        <w:t>, No. 09-CV-1818, 2010 U.S. Dist. LEXIS 27688, at *11-16 (E.D. Pa. Mar. 19, 2010) (hereinafter “</w:t>
      </w:r>
      <w:r w:rsidR="00161CFC" w:rsidRPr="001A1FD3">
        <w:rPr>
          <w:i/>
        </w:rPr>
        <w:t>NLC II</w:t>
      </w:r>
      <w:r w:rsidR="00161CFC" w:rsidRPr="001A1FD3">
        <w:t>”)</w:t>
      </w:r>
      <w:r w:rsidRPr="001A1FD3">
        <w:t>.</w:t>
      </w:r>
    </w:p>
    <w:p w14:paraId="680A617A" w14:textId="4F7F61B4" w:rsidR="003819C8" w:rsidRPr="001A1FD3" w:rsidRDefault="00B3362D" w:rsidP="003819C8">
      <w:pPr>
        <w:spacing w:line="480" w:lineRule="auto"/>
        <w:ind w:firstLine="720"/>
        <w:rPr>
          <w:i/>
        </w:rPr>
      </w:pPr>
      <w:r>
        <w:t xml:space="preserve">In arguing that these decisions have issue preclusive effect, NLC </w:t>
      </w:r>
      <w:r w:rsidR="002D1E2E">
        <w:t>neglects to mention that the</w:t>
      </w:r>
      <w:r w:rsidR="00B20821" w:rsidRPr="001A1FD3">
        <w:t xml:space="preserve"> United States and NLC </w:t>
      </w:r>
      <w:r w:rsidR="0045460D">
        <w:t xml:space="preserve">settled that case. </w:t>
      </w:r>
      <w:r w:rsidR="00161CFC" w:rsidRPr="001A1FD3">
        <w:t xml:space="preserve">Simunovich Decl., </w:t>
      </w:r>
      <w:r w:rsidR="00A40C9D" w:rsidRPr="001A1FD3">
        <w:t xml:space="preserve">Exhs. </w:t>
      </w:r>
      <w:r w:rsidR="00344940">
        <w:t>D</w:t>
      </w:r>
      <w:r w:rsidR="00161CFC" w:rsidRPr="001A1FD3">
        <w:t xml:space="preserve"> </w:t>
      </w:r>
      <w:r w:rsidR="00344940">
        <w:t>&amp; E</w:t>
      </w:r>
      <w:r w:rsidR="00B2243C" w:rsidRPr="001A1FD3">
        <w:t xml:space="preserve"> </w:t>
      </w:r>
      <w:r w:rsidR="00161CFC" w:rsidRPr="001A1FD3">
        <w:t>(</w:t>
      </w:r>
      <w:r w:rsidR="00344940">
        <w:t>stipulation and order of dismissal</w:t>
      </w:r>
      <w:r w:rsidR="00161CFC" w:rsidRPr="001A1FD3">
        <w:t>)</w:t>
      </w:r>
      <w:r w:rsidR="00C37065" w:rsidRPr="001A1FD3">
        <w:t>.</w:t>
      </w:r>
      <w:r w:rsidR="0045460D">
        <w:t xml:space="preserve"> </w:t>
      </w:r>
      <w:r w:rsidR="002D1E2E">
        <w:t xml:space="preserve">That omission is significant because this Court cannot properly </w:t>
      </w:r>
      <w:r w:rsidR="0045460D">
        <w:t>analyze NLC’s collateral estoppel argument</w:t>
      </w:r>
      <w:r w:rsidR="002D1E2E">
        <w:t xml:space="preserve"> without first consider</w:t>
      </w:r>
      <w:r w:rsidR="002D1E2E">
        <w:lastRenderedPageBreak/>
        <w:t xml:space="preserve">ing the terms of that </w:t>
      </w:r>
      <w:r w:rsidR="00344940">
        <w:t>settlement agreement</w:t>
      </w:r>
      <w:r w:rsidR="0045460D" w:rsidRPr="001A1FD3">
        <w:t xml:space="preserve">. </w:t>
      </w:r>
      <w:bookmarkStart w:id="57" w:name="dabmci_c9829545fe4847ec8d58f8a7b842c6a2"/>
      <w:r w:rsidR="00BF041A">
        <w:fldChar w:fldCharType="begin"/>
      </w:r>
      <w:r w:rsidR="00BF041A" w:rsidRPr="00BF041A">
        <w:instrText xml:space="preserve"> TA \l "</w:instrText>
      </w:r>
      <w:r w:rsidR="00BF041A" w:rsidRPr="00BF041A">
        <w:rPr>
          <w:i/>
          <w:color w:val="000000"/>
        </w:rPr>
        <w:instrText>Arizona v. California</w:instrText>
      </w:r>
      <w:r w:rsidR="00BF041A" w:rsidRPr="00BF041A">
        <w:rPr>
          <w:color w:val="000000"/>
        </w:rPr>
        <w:instrText>,</w:instrText>
      </w:r>
      <w:r w:rsidR="00BF041A" w:rsidRPr="00BF041A">
        <w:rPr>
          <w:color w:val="000000"/>
        </w:rPr>
        <w:br/>
        <w:instrText>530 U.S. 392 (2000)</w:instrText>
      </w:r>
      <w:r w:rsidR="00BF041A" w:rsidRPr="00BF041A">
        <w:instrText xml:space="preserve">" \s "dabmci_c9829545fe4847ec8d58f8a7b842c6a2_3" \c 1 </w:instrText>
      </w:r>
      <w:r w:rsidR="00BF041A">
        <w:fldChar w:fldCharType="end"/>
      </w:r>
      <w:r w:rsidR="003819C8" w:rsidRPr="001A1FD3">
        <w:rPr>
          <w:i/>
        </w:rPr>
        <w:t>Arizona v. California</w:t>
      </w:r>
      <w:r w:rsidR="003819C8" w:rsidRPr="001A1FD3">
        <w:t>, 530 U.S. 392, 414 (2000)</w:t>
      </w:r>
      <w:bookmarkEnd w:id="57"/>
      <w:r w:rsidR="003819C8" w:rsidRPr="001A1FD3">
        <w:t xml:space="preserve"> (holding that “</w:t>
      </w:r>
      <w:r w:rsidR="003819C8" w:rsidRPr="001A1FD3">
        <w:rPr>
          <w:rFonts w:cs="Helvetica"/>
        </w:rPr>
        <w:t xml:space="preserve">settlements ordinarily occasion no </w:t>
      </w:r>
      <w:r w:rsidR="003819C8" w:rsidRPr="001A1FD3">
        <w:rPr>
          <w:rFonts w:cs="Helvetica"/>
          <w:iCs/>
        </w:rPr>
        <w:t>issue preclusion</w:t>
      </w:r>
      <w:r w:rsidR="003819C8" w:rsidRPr="001A1FD3">
        <w:rPr>
          <w:rFonts w:cs="Helvetica"/>
        </w:rPr>
        <w:t xml:space="preserve"> … unless it is clear … that the parties intend their agreement to have such an effect”);</w:t>
      </w:r>
      <w:r w:rsidR="003819C8">
        <w:rPr>
          <w:rFonts w:cs="Helvetica"/>
        </w:rPr>
        <w:t xml:space="preserve"> </w:t>
      </w:r>
      <w:r w:rsidR="0045460D" w:rsidRPr="001A1FD3">
        <w:rPr>
          <w:i/>
        </w:rPr>
        <w:t>Wisconsin Elec. Pwr. Co. v. No. Assur. Co. of Am.</w:t>
      </w:r>
      <w:r w:rsidR="0045460D" w:rsidRPr="001A1FD3">
        <w:t xml:space="preserve">, No. 07-C-277, </w:t>
      </w:r>
      <w:r w:rsidR="00E3776B" w:rsidRPr="00E3776B">
        <w:t>2007 U.S. Dist. LEXIS 93933</w:t>
      </w:r>
      <w:r w:rsidR="00E3776B">
        <w:t>, at *6</w:t>
      </w:r>
      <w:r w:rsidR="0045460D" w:rsidRPr="001A1FD3">
        <w:t xml:space="preserve"> (</w:t>
      </w:r>
      <w:r w:rsidR="00E3776B">
        <w:t>W.D. Wis. Dec. 17, 2007)</w:t>
      </w:r>
      <w:r w:rsidR="003819C8">
        <w:t xml:space="preserve"> </w:t>
      </w:r>
      <w:r w:rsidR="00E3776B">
        <w:t>(</w:t>
      </w:r>
      <w:r w:rsidR="003819C8">
        <w:t>“</w:t>
      </w:r>
      <w:r w:rsidR="003819C8" w:rsidRPr="003819C8">
        <w:t>When judgment is entered based on settlement, issue preclusion will attach if it is clearly shown that the parties intended that the issue be foreclosed in other litigation.</w:t>
      </w:r>
      <w:r w:rsidR="003819C8">
        <w:t xml:space="preserve">”). </w:t>
      </w:r>
    </w:p>
    <w:p w14:paraId="2A1421B5" w14:textId="206C4B06" w:rsidR="00060EA3" w:rsidRPr="001A1FD3" w:rsidRDefault="00344940" w:rsidP="003819C8">
      <w:pPr>
        <w:spacing w:line="480" w:lineRule="auto"/>
        <w:ind w:firstLine="720"/>
      </w:pPr>
      <w:r>
        <w:t>Typically, the</w:t>
      </w:r>
      <w:r w:rsidR="003819C8">
        <w:t xml:space="preserve"> parties</w:t>
      </w:r>
      <w:r>
        <w:t>’</w:t>
      </w:r>
      <w:r w:rsidR="003819C8">
        <w:t xml:space="preserve"> intent is not appropriately addressed on a motion to dismiss, </w:t>
      </w:r>
      <w:r>
        <w:t xml:space="preserve">but </w:t>
      </w:r>
      <w:r w:rsidR="003819C8">
        <w:t xml:space="preserve">the plain language of the </w:t>
      </w:r>
      <w:r>
        <w:t>settlement a</w:t>
      </w:r>
      <w:r w:rsidR="0045460D" w:rsidRPr="001A1FD3">
        <w:t xml:space="preserve">greement shows that the United States and NLC </w:t>
      </w:r>
      <w:r w:rsidR="003819C8">
        <w:t xml:space="preserve">agreed to </w:t>
      </w:r>
      <w:r w:rsidR="003819C8">
        <w:rPr>
          <w:i/>
        </w:rPr>
        <w:t xml:space="preserve">not </w:t>
      </w:r>
      <w:r w:rsidR="003819C8">
        <w:t xml:space="preserve">attach issue preclusive effect to </w:t>
      </w:r>
      <w:r w:rsidR="00E3776B">
        <w:t xml:space="preserve">decisions in the lawsuit. </w:t>
      </w:r>
      <w:r w:rsidR="00E3776B">
        <w:rPr>
          <w:i/>
        </w:rPr>
        <w:t xml:space="preserve">See </w:t>
      </w:r>
      <w:r w:rsidR="0045460D" w:rsidRPr="001A1FD3">
        <w:t xml:space="preserve">Simunovich Decl., Exh. </w:t>
      </w:r>
      <w:r w:rsidR="00814588">
        <w:t>F</w:t>
      </w:r>
      <w:r w:rsidR="0045460D" w:rsidRPr="001A1FD3">
        <w:t xml:space="preserve"> ¶¶ </w:t>
      </w:r>
      <w:r w:rsidR="0045460D">
        <w:t>16-17.</w:t>
      </w:r>
      <w:r w:rsidR="003819C8">
        <w:rPr>
          <w:rStyle w:val="FootnoteReference"/>
        </w:rPr>
        <w:footnoteReference w:id="5"/>
      </w:r>
      <w:r w:rsidR="003A2773">
        <w:t xml:space="preserve"> The settlement a</w:t>
      </w:r>
      <w:r w:rsidR="0045460D">
        <w:t xml:space="preserve">greement was </w:t>
      </w:r>
      <w:r w:rsidR="003A2773">
        <w:t xml:space="preserve">effective for two </w:t>
      </w:r>
      <w:r w:rsidR="0045460D">
        <w:lastRenderedPageBreak/>
        <w:t>year</w:t>
      </w:r>
      <w:r w:rsidR="003A2773">
        <w:t>s.</w:t>
      </w:r>
      <w:r w:rsidR="0045460D">
        <w:t xml:space="preserve"> </w:t>
      </w:r>
      <w:r w:rsidR="0045460D">
        <w:rPr>
          <w:i/>
        </w:rPr>
        <w:t>Id.</w:t>
      </w:r>
      <w:r w:rsidR="0045460D">
        <w:t xml:space="preserve"> ¶ 16. During that </w:t>
      </w:r>
      <w:r w:rsidR="003A2773">
        <w:t>time</w:t>
      </w:r>
      <w:r w:rsidR="0045460D">
        <w:t xml:space="preserve">, NLC </w:t>
      </w:r>
      <w:r w:rsidR="002D1E2E">
        <w:t xml:space="preserve">agreed to implement </w:t>
      </w:r>
      <w:r w:rsidR="00060EA3" w:rsidRPr="001A1FD3">
        <w:t xml:space="preserve">certain changes to its policies and procedures; the United States, in turn, agreed that it </w:t>
      </w:r>
      <w:r w:rsidR="0045460D">
        <w:t xml:space="preserve">would not </w:t>
      </w:r>
      <w:r w:rsidR="002D1E2E">
        <w:t xml:space="preserve">commence new ADA enforcement actions </w:t>
      </w:r>
      <w:r w:rsidR="0045460D">
        <w:t>against NLC</w:t>
      </w:r>
      <w:r w:rsidR="00060EA3" w:rsidRPr="001A1FD3">
        <w:t xml:space="preserve">. </w:t>
      </w:r>
      <w:r w:rsidR="003A2773">
        <w:rPr>
          <w:i/>
        </w:rPr>
        <w:t xml:space="preserve">Id. </w:t>
      </w:r>
      <w:r w:rsidR="00FE1C4D" w:rsidRPr="001A1FD3">
        <w:t>¶¶</w:t>
      </w:r>
      <w:r w:rsidR="00060EA3" w:rsidRPr="001A1FD3">
        <w:t xml:space="preserve"> 8-13, </w:t>
      </w:r>
      <w:r w:rsidR="00B33C1F">
        <w:br/>
      </w:r>
      <w:r w:rsidR="00FE1C4D" w:rsidRPr="001A1FD3">
        <w:t>16-17.</w:t>
      </w:r>
      <w:r w:rsidR="00060EA3" w:rsidRPr="001A1FD3">
        <w:t xml:space="preserve"> </w:t>
      </w:r>
      <w:r w:rsidR="002B71C9" w:rsidRPr="001A1FD3">
        <w:t>A</w:t>
      </w:r>
      <w:r w:rsidR="00060EA3" w:rsidRPr="001A1FD3">
        <w:t xml:space="preserve">fter that two-year period, </w:t>
      </w:r>
      <w:r w:rsidR="0045460D">
        <w:t xml:space="preserve">NLC was free to undo the changes that were designed to prevent further discriminatory conduct, and the </w:t>
      </w:r>
      <w:r w:rsidR="00060EA3" w:rsidRPr="001A1FD3">
        <w:t xml:space="preserve">United States </w:t>
      </w:r>
      <w:r w:rsidR="0045460D">
        <w:t xml:space="preserve">was </w:t>
      </w:r>
      <w:r w:rsidR="000E3DCA" w:rsidRPr="001A1FD3">
        <w:t xml:space="preserve">free to bring new </w:t>
      </w:r>
      <w:r w:rsidR="002D1E2E">
        <w:t xml:space="preserve">ADA enforcement actions </w:t>
      </w:r>
      <w:r w:rsidR="000E3DCA" w:rsidRPr="001A1FD3">
        <w:t xml:space="preserve">against NLC—even for </w:t>
      </w:r>
      <w:r w:rsidR="00060EA3" w:rsidRPr="001A1FD3">
        <w:t xml:space="preserve">claims based on “legal theories raised or that could have been asserted” in </w:t>
      </w:r>
      <w:r w:rsidR="00FA6B4D" w:rsidRPr="001A1FD3">
        <w:t xml:space="preserve">the </w:t>
      </w:r>
      <w:r w:rsidR="00060EA3" w:rsidRPr="001A1FD3">
        <w:t xml:space="preserve">2009 lawsuit. </w:t>
      </w:r>
      <w:r w:rsidR="00060EA3" w:rsidRPr="001A1FD3">
        <w:rPr>
          <w:i/>
        </w:rPr>
        <w:t>Id.</w:t>
      </w:r>
      <w:r w:rsidR="00060EA3" w:rsidRPr="001A1FD3">
        <w:t xml:space="preserve"> ¶ 17. </w:t>
      </w:r>
    </w:p>
    <w:p w14:paraId="79602982" w14:textId="682DA3D7" w:rsidR="00C16E28" w:rsidRDefault="0045460D" w:rsidP="003A2773">
      <w:pPr>
        <w:spacing w:line="480" w:lineRule="auto"/>
        <w:ind w:firstLine="720"/>
      </w:pPr>
      <w:r w:rsidRPr="001A1FD3">
        <w:t xml:space="preserve">That agreement is fatal to NLC’s collateral estoppel argument. </w:t>
      </w:r>
      <w:bookmarkStart w:id="59" w:name="dabmci_96dbbc97156d45a3aec0bd38bf80396a"/>
      <w:r w:rsidR="00BF041A">
        <w:fldChar w:fldCharType="begin"/>
      </w:r>
      <w:r w:rsidR="00BF041A" w:rsidRPr="00BF041A">
        <w:instrText xml:space="preserve"> TA \l "</w:instrText>
      </w:r>
      <w:r w:rsidR="00BF041A" w:rsidRPr="00BF041A">
        <w:rPr>
          <w:i/>
          <w:color w:val="000000"/>
        </w:rPr>
        <w:instrText>Continental Airlines, Inc. v. Am. Airlines, Inc.</w:instrText>
      </w:r>
      <w:r w:rsidR="00BF041A" w:rsidRPr="00BF041A">
        <w:rPr>
          <w:color w:val="000000"/>
        </w:rPr>
        <w:instrText>,</w:instrText>
      </w:r>
      <w:r w:rsidR="00BF041A" w:rsidRPr="00BF041A">
        <w:rPr>
          <w:color w:val="000000"/>
        </w:rPr>
        <w:br/>
        <w:instrText>824 F. Supp. 689 (S.D. Tex. 1993)</w:instrText>
      </w:r>
      <w:r w:rsidR="00BF041A" w:rsidRPr="00BF041A">
        <w:instrText xml:space="preserve">" \s "dabmci_96dbbc97156d45a3aec0bd38bf80396a_1" \c 1 </w:instrText>
      </w:r>
      <w:r w:rsidR="00BF041A">
        <w:fldChar w:fldCharType="end"/>
      </w:r>
      <w:r w:rsidRPr="001A1FD3">
        <w:rPr>
          <w:i/>
        </w:rPr>
        <w:t>Continental Airlines, Inc. v. Am. Airlines, Inc.</w:t>
      </w:r>
      <w:r w:rsidRPr="001A1FD3">
        <w:t>, 824 F. Supp. 689, 706-08 (S.D. Tex. 1993)</w:t>
      </w:r>
      <w:bookmarkEnd w:id="59"/>
      <w:r w:rsidRPr="001A1FD3">
        <w:t xml:space="preserve"> (holding that collateral estoppel did not attach to decision on a partial motion for summary judgment, where the parties settled the case); </w:t>
      </w:r>
      <w:r w:rsidRPr="001A1FD3">
        <w:rPr>
          <w:i/>
        </w:rPr>
        <w:t>Ecotone Farm, LLC</w:t>
      </w:r>
      <w:r w:rsidRPr="001A1FD3">
        <w:t xml:space="preserve">, 2014 U.S. Dist. LEXIS </w:t>
      </w:r>
      <w:r w:rsidRPr="001A1FD3">
        <w:lastRenderedPageBreak/>
        <w:t xml:space="preserve">101046, at *34-40 (holding that claim preclusion did not apply because an underlying settlement agreement did not express the parties’ clear intention to bar the type of claims being brought); </w:t>
      </w:r>
      <w:r w:rsidRPr="001A1FD3">
        <w:rPr>
          <w:i/>
        </w:rPr>
        <w:t>Wisconsin Elec. Pwr. Co.</w:t>
      </w:r>
      <w:r w:rsidRPr="001A1FD3">
        <w:t xml:space="preserve">, </w:t>
      </w:r>
      <w:r w:rsidR="009A011E" w:rsidRPr="009A011E">
        <w:t>2007 U.S. Dist. LEXIS 93933</w:t>
      </w:r>
      <w:r w:rsidRPr="001A1FD3">
        <w:t>, at *2 (</w:t>
      </w:r>
      <w:r w:rsidR="00CF2E3B">
        <w:t>rejecting collateral estoppel argument where parties dismissed case “with prejudice” pursuant to a settlement agreement after an interlocutory decision and holding that, in the absence of a express agreement to the contrary, “that claim preclusion but not issue preclusion would apply</w:t>
      </w:r>
      <w:r w:rsidRPr="001A1FD3">
        <w:t xml:space="preserve">”); </w:t>
      </w:r>
      <w:r w:rsidRPr="001A1FD3">
        <w:rPr>
          <w:i/>
        </w:rPr>
        <w:t>Perkinelmer, Inc. v. Bruker Corp.</w:t>
      </w:r>
      <w:r w:rsidRPr="001A1FD3">
        <w:t xml:space="preserve">, No. C-13-1602, 2013 U.S. Dist. LEXIS 107662, at *4-6 (N.D. Cal. July 30, 2013) (holding that claim preclusion did not apply where </w:t>
      </w:r>
      <w:r w:rsidR="00C16E28">
        <w:t>the underlying case was settled and parties did not include language that “</w:t>
      </w:r>
      <w:r w:rsidRPr="001A1FD3">
        <w:t>expressly precludes plaintiffs from filing an infringement action based on conduct occurring after the dismissal of the prior action”).</w:t>
      </w:r>
      <w:r w:rsidRPr="001A1FD3">
        <w:rPr>
          <w:rStyle w:val="FootnoteReference"/>
        </w:rPr>
        <w:footnoteReference w:id="6"/>
      </w:r>
      <w:r w:rsidR="003A2773">
        <w:t xml:space="preserve"> </w:t>
      </w:r>
    </w:p>
    <w:p w14:paraId="07D856B4" w14:textId="51B2EEE3" w:rsidR="003A2773" w:rsidRDefault="00C16E28" w:rsidP="00961C02">
      <w:pPr>
        <w:spacing w:line="480" w:lineRule="auto"/>
        <w:ind w:firstLine="720"/>
      </w:pPr>
      <w:r w:rsidRPr="001A1FD3">
        <w:lastRenderedPageBreak/>
        <w:t>NLC should be held to the bargain it struck.</w:t>
      </w:r>
      <w:r>
        <w:t xml:space="preserve"> Rather than proceed through discovery and trial, the United States and NLC agreed to resolve their dispute by settlement agreement. That agreement was effective for two years. A</w:t>
      </w:r>
      <w:r w:rsidRPr="001A1FD3">
        <w:t>fter that</w:t>
      </w:r>
      <w:r>
        <w:t xml:space="preserve"> time</w:t>
      </w:r>
      <w:r w:rsidRPr="001A1FD3">
        <w:t xml:space="preserve">, </w:t>
      </w:r>
      <w:r w:rsidR="002D1E2E">
        <w:t xml:space="preserve">NLC agreed that the </w:t>
      </w:r>
      <w:r w:rsidRPr="001A1FD3">
        <w:t xml:space="preserve">United States </w:t>
      </w:r>
      <w:r w:rsidR="002D1E2E">
        <w:t xml:space="preserve">could </w:t>
      </w:r>
      <w:r w:rsidRPr="001A1FD3">
        <w:t xml:space="preserve">commence new lawsuits against </w:t>
      </w:r>
      <w:r w:rsidR="002D1E2E">
        <w:t xml:space="preserve">it </w:t>
      </w:r>
      <w:r w:rsidRPr="001A1FD3">
        <w:t xml:space="preserve">for </w:t>
      </w:r>
      <w:r>
        <w:t xml:space="preserve">new </w:t>
      </w:r>
      <w:r w:rsidRPr="001A1FD3">
        <w:t>violations of the ADA</w:t>
      </w:r>
      <w:r>
        <w:t>. Aside from imposing a two-year waiting period and resolving the specif</w:t>
      </w:r>
      <w:r w:rsidR="00961C02">
        <w:t>ic claims at issue in that case</w:t>
      </w:r>
      <w:r>
        <w:t>, the settlement agreement</w:t>
      </w:r>
      <w:r w:rsidR="00961C02">
        <w:t xml:space="preserve"> does not limit in any </w:t>
      </w:r>
      <w:r w:rsidR="00814588">
        <w:t xml:space="preserve">way </w:t>
      </w:r>
      <w:r w:rsidR="002D1E2E">
        <w:t xml:space="preserve">the types of claims that the United States can assert against NLC. </w:t>
      </w:r>
      <w:r w:rsidRPr="001A1FD3">
        <w:t xml:space="preserve">Because NLC has not carried its burden to show that </w:t>
      </w:r>
      <w:r w:rsidR="002D1E2E">
        <w:t xml:space="preserve">the doctrine </w:t>
      </w:r>
      <w:r w:rsidRPr="001A1FD3">
        <w:t xml:space="preserve">applies, the Court should </w:t>
      </w:r>
      <w:r w:rsidR="00961C02">
        <w:t xml:space="preserve">reject NLC’s collateral estoppel argument. </w:t>
      </w:r>
      <w:bookmarkStart w:id="62" w:name="dabmci_839054eca1124ffd98e399b1a97d7a8f"/>
      <w:r w:rsidR="00BF041A">
        <w:fldChar w:fldCharType="begin"/>
      </w:r>
      <w:r w:rsidR="00BF041A" w:rsidRPr="00BF041A">
        <w:instrText xml:space="preserve"> TA \l "</w:instrText>
      </w:r>
      <w:r w:rsidR="00BF041A" w:rsidRPr="00BF041A">
        <w:rPr>
          <w:i/>
          <w:color w:val="000000"/>
        </w:rPr>
        <w:instrText>Arizona v. California</w:instrText>
      </w:r>
      <w:r w:rsidR="00BF041A" w:rsidRPr="00BF041A">
        <w:rPr>
          <w:color w:val="000000"/>
        </w:rPr>
        <w:instrText>,</w:instrText>
      </w:r>
      <w:r w:rsidR="00BF041A" w:rsidRPr="00BF041A">
        <w:rPr>
          <w:color w:val="000000"/>
        </w:rPr>
        <w:br/>
        <w:instrText>530 U.S. 392 (2000)</w:instrText>
      </w:r>
      <w:r w:rsidR="00BF041A" w:rsidRPr="00BF041A">
        <w:instrText xml:space="preserve">" \s "dabmci_c9829545fe4847ec8d58f8a7b842c6a2_3" \c 1 </w:instrText>
      </w:r>
      <w:r w:rsidR="00BF041A">
        <w:fldChar w:fldCharType="end"/>
      </w:r>
      <w:r w:rsidR="003A2773">
        <w:rPr>
          <w:i/>
        </w:rPr>
        <w:t>Arizona</w:t>
      </w:r>
      <w:r w:rsidR="003A2773" w:rsidRPr="001A1FD3">
        <w:t xml:space="preserve">, 530 U.S. </w:t>
      </w:r>
      <w:r w:rsidR="003A2773">
        <w:t>at 4</w:t>
      </w:r>
      <w:r w:rsidR="003A2773" w:rsidRPr="001A1FD3">
        <w:t>14</w:t>
      </w:r>
      <w:bookmarkEnd w:id="62"/>
      <w:r w:rsidR="0008069B">
        <w:t xml:space="preserve">; </w:t>
      </w:r>
      <w:bookmarkStart w:id="63" w:name="dabmci_35f47ebe15544769875a517bf7cdde2f"/>
      <w:r w:rsidR="00BF041A">
        <w:fldChar w:fldCharType="begin"/>
      </w:r>
      <w:r w:rsidR="00BF041A" w:rsidRPr="00BF041A">
        <w:instrText xml:space="preserve"> TA \l "</w:instrText>
      </w:r>
      <w:r w:rsidR="00BF041A" w:rsidRPr="00BF041A">
        <w:rPr>
          <w:i/>
          <w:color w:val="000000"/>
        </w:rPr>
        <w:instrText>Suppan v. Dadonna</w:instrText>
      </w:r>
      <w:r w:rsidR="00BF041A" w:rsidRPr="00BF041A">
        <w:rPr>
          <w:color w:val="000000"/>
        </w:rPr>
        <w:instrText>,</w:instrText>
      </w:r>
      <w:r w:rsidR="00BF041A" w:rsidRPr="00BF041A">
        <w:rPr>
          <w:color w:val="000000"/>
        </w:rPr>
        <w:br/>
        <w:instrText>203 F.3d 228 (3d Cir. 2000)</w:instrText>
      </w:r>
      <w:r w:rsidR="00BF041A" w:rsidRPr="00BF041A">
        <w:instrText xml:space="preserve">" \s "dabmci_35f47ebe15544769875a517bf7cdde2f_1" \c 1 </w:instrText>
      </w:r>
      <w:r w:rsidR="00BF041A">
        <w:fldChar w:fldCharType="end"/>
      </w:r>
      <w:r w:rsidR="0008069B" w:rsidRPr="00FC2EEE">
        <w:rPr>
          <w:i/>
        </w:rPr>
        <w:t>Suppan v. Dadonna</w:t>
      </w:r>
      <w:r w:rsidR="0008069B" w:rsidRPr="00FC2EEE">
        <w:t xml:space="preserve">, 203 F.3d 228, 233 (3d Cir. </w:t>
      </w:r>
      <w:r w:rsidR="0008069B" w:rsidRPr="00FC2EEE">
        <w:lastRenderedPageBreak/>
        <w:t>2000)</w:t>
      </w:r>
      <w:bookmarkEnd w:id="63"/>
      <w:r w:rsidR="0008069B" w:rsidRPr="00FC2EEE">
        <w:t xml:space="preserve"> (“The party seeking to effectuate an estoppel has the burden of demonstrating the propriety of its application.”)</w:t>
      </w:r>
      <w:r w:rsidR="0008069B">
        <w:t>.</w:t>
      </w:r>
      <w:r w:rsidRPr="001A1FD3">
        <w:rPr>
          <w:rStyle w:val="FootnoteReference"/>
        </w:rPr>
        <w:footnoteReference w:id="7"/>
      </w:r>
    </w:p>
    <w:p w14:paraId="3E1D86FE" w14:textId="2E7B4AE0" w:rsidR="00F209AF" w:rsidRDefault="0008069B" w:rsidP="00F209AF">
      <w:pPr>
        <w:pStyle w:val="Heading3"/>
      </w:pPr>
      <w:bookmarkStart w:id="65" w:name="_Toc481414276"/>
      <w:r>
        <w:t>T</w:t>
      </w:r>
      <w:r w:rsidR="00F209AF">
        <w:t xml:space="preserve">he Decisions in the 2009 Lawsuit </w:t>
      </w:r>
      <w:r w:rsidR="00351608">
        <w:t>Lack Sufficient Finality to Support Collateral Estoppel</w:t>
      </w:r>
      <w:bookmarkEnd w:id="65"/>
      <w:r w:rsidR="00F209AF">
        <w:t xml:space="preserve"> </w:t>
      </w:r>
    </w:p>
    <w:p w14:paraId="6B0F4ACE" w14:textId="40987365" w:rsidR="00C37065" w:rsidRDefault="0008069B" w:rsidP="00C37065">
      <w:pPr>
        <w:spacing w:line="480" w:lineRule="auto"/>
        <w:ind w:firstLine="720"/>
      </w:pPr>
      <w:r>
        <w:t>Putting aside the terms of the s</w:t>
      </w:r>
      <w:r w:rsidR="0045460D">
        <w:t xml:space="preserve">ettlement </w:t>
      </w:r>
      <w:r>
        <w:t>a</w:t>
      </w:r>
      <w:r w:rsidR="0045460D">
        <w:t xml:space="preserve">greement, NLC’s </w:t>
      </w:r>
      <w:r w:rsidR="00C02608">
        <w:t xml:space="preserve">collateral estoppel </w:t>
      </w:r>
      <w:r w:rsidR="0045460D">
        <w:t xml:space="preserve">argument also fails because </w:t>
      </w:r>
      <w:r w:rsidR="00C02608">
        <w:rPr>
          <w:i/>
        </w:rPr>
        <w:t>NLC I</w:t>
      </w:r>
      <w:r w:rsidR="00C02608">
        <w:t xml:space="preserve"> and </w:t>
      </w:r>
      <w:r w:rsidR="00C02608">
        <w:rPr>
          <w:i/>
        </w:rPr>
        <w:t xml:space="preserve">NLC II </w:t>
      </w:r>
      <w:r>
        <w:t xml:space="preserve">were unappealable </w:t>
      </w:r>
      <w:r w:rsidR="00C02608">
        <w:t>interlocutory decisions.</w:t>
      </w:r>
      <w:r w:rsidR="00C37065" w:rsidRPr="001A1FD3">
        <w:t xml:space="preserve"> </w:t>
      </w:r>
      <w:r w:rsidR="00F4217A" w:rsidRPr="001A1FD3">
        <w:t>Although</w:t>
      </w:r>
      <w:r w:rsidR="00C37065" w:rsidRPr="001A1FD3">
        <w:t xml:space="preserve"> the finality prong of the collateral estoppel analysis does not</w:t>
      </w:r>
      <w:r w:rsidR="000722CD" w:rsidRPr="001A1FD3">
        <w:t xml:space="preserve"> always</w:t>
      </w:r>
      <w:r w:rsidR="00C37065" w:rsidRPr="001A1FD3">
        <w:t xml:space="preserve"> require “entry of a judgment final i</w:t>
      </w:r>
      <w:r w:rsidR="00FE1C4D" w:rsidRPr="001A1FD3">
        <w:t>n the sense of being appealable,</w:t>
      </w:r>
      <w:r w:rsidR="00C37065" w:rsidRPr="001A1FD3">
        <w:t xml:space="preserve">” </w:t>
      </w:r>
      <w:bookmarkStart w:id="66" w:name="dabmci_8d6b1358c03c4393b36e5c61aefb537d"/>
      <w:r w:rsidR="00BF041A">
        <w:fldChar w:fldCharType="begin"/>
      </w:r>
      <w:r w:rsidR="00BF041A" w:rsidRPr="00BF041A">
        <w:instrText xml:space="preserve"> TA \l "</w:instrText>
      </w:r>
      <w:r w:rsidR="00BF041A" w:rsidRPr="00BF041A">
        <w:rPr>
          <w:color w:val="000000"/>
        </w:rPr>
        <w:instrText>63 F.3d n.8</w:instrText>
      </w:r>
      <w:r w:rsidR="00BF041A" w:rsidRPr="00BF041A">
        <w:instrText xml:space="preserve">" \s "dabmci_2e83d2b8eaf845d8a5d26a6fa9cad789_4" \c 1 </w:instrText>
      </w:r>
      <w:r w:rsidR="00BF041A">
        <w:fldChar w:fldCharType="end"/>
      </w:r>
      <w:r w:rsidR="00C37065" w:rsidRPr="001A1FD3">
        <w:rPr>
          <w:i/>
        </w:rPr>
        <w:t>Burlington N. R.R.</w:t>
      </w:r>
      <w:r w:rsidR="00C37065" w:rsidRPr="001A1FD3">
        <w:t>, 63 F.3d at 1233 n.8</w:t>
      </w:r>
      <w:bookmarkEnd w:id="66"/>
      <w:r w:rsidR="00C37065" w:rsidRPr="001A1FD3">
        <w:t xml:space="preserve"> (quoting </w:t>
      </w:r>
      <w:bookmarkStart w:id="67" w:name="dabmci_7beaa3f3a1f549b6a940c874a26d63f2"/>
      <w:r w:rsidR="00BF041A">
        <w:fldChar w:fldCharType="begin"/>
      </w:r>
      <w:r w:rsidR="00BF041A" w:rsidRPr="00BF041A">
        <w:instrText xml:space="preserve"> TA \l "</w:instrText>
      </w:r>
      <w:r w:rsidR="00BF041A" w:rsidRPr="00BF041A">
        <w:rPr>
          <w:i/>
          <w:color w:val="000000"/>
        </w:rPr>
        <w:instrText>In re Brown</w:instrText>
      </w:r>
      <w:r w:rsidR="00BF041A" w:rsidRPr="00BF041A">
        <w:rPr>
          <w:color w:val="000000"/>
        </w:rPr>
        <w:instrText>,</w:instrText>
      </w:r>
      <w:r w:rsidR="00BF041A" w:rsidRPr="00BF041A">
        <w:rPr>
          <w:color w:val="000000"/>
        </w:rPr>
        <w:br/>
        <w:instrText>951 F.2d 564 (3d Cir. 1991)</w:instrText>
      </w:r>
      <w:r w:rsidR="00BF041A" w:rsidRPr="00BF041A">
        <w:instrText xml:space="preserve">" \s "dabmci_7beaa3f3a1f549b6a940c874a26d63f2_5" \c 1 </w:instrText>
      </w:r>
      <w:r w:rsidR="00BF041A">
        <w:fldChar w:fldCharType="end"/>
      </w:r>
      <w:r w:rsidR="00C37065" w:rsidRPr="001A1FD3">
        <w:rPr>
          <w:i/>
        </w:rPr>
        <w:t>In re Brown</w:t>
      </w:r>
      <w:r w:rsidR="00C37065" w:rsidRPr="001A1FD3">
        <w:t>, 951 F.2d 564, 569 (3d Cir. 1991)</w:t>
      </w:r>
      <w:bookmarkEnd w:id="67"/>
      <w:r w:rsidR="00C37065" w:rsidRPr="001A1FD3">
        <w:t xml:space="preserve">), a party seeking to invoke the </w:t>
      </w:r>
      <w:r w:rsidR="00C37065" w:rsidRPr="001A1FD3">
        <w:lastRenderedPageBreak/>
        <w:t xml:space="preserve">doctrine </w:t>
      </w:r>
      <w:r w:rsidR="00F4217A" w:rsidRPr="001A1FD3">
        <w:t>must show that</w:t>
      </w:r>
      <w:r w:rsidR="00C37065" w:rsidRPr="001A1FD3">
        <w:t xml:space="preserve"> the underlying decision was “sufficiently firm to be accorded conclusive effect.” </w:t>
      </w:r>
      <w:bookmarkStart w:id="68" w:name="dabmci_49e150cf809a412e8b2e0b49c0d7ccc2"/>
      <w:r w:rsidR="00BF041A">
        <w:fldChar w:fldCharType="begin"/>
      </w:r>
      <w:r w:rsidR="00BF041A" w:rsidRPr="00BF041A">
        <w:instrText xml:space="preserve"> TA \l "</w:instrText>
      </w:r>
      <w:r w:rsidR="00BF041A" w:rsidRPr="00BF041A">
        <w:rPr>
          <w:i/>
          <w:color w:val="000000"/>
        </w:rPr>
        <w:instrText>In re Brown</w:instrText>
      </w:r>
      <w:r w:rsidR="00BF041A" w:rsidRPr="00BF041A">
        <w:rPr>
          <w:color w:val="000000"/>
        </w:rPr>
        <w:instrText>,</w:instrText>
      </w:r>
      <w:r w:rsidR="00BF041A" w:rsidRPr="00BF041A">
        <w:rPr>
          <w:color w:val="000000"/>
        </w:rPr>
        <w:br/>
        <w:instrText>951 F.2d 564 (3d Cir. 1991)</w:instrText>
      </w:r>
      <w:r w:rsidR="00BF041A" w:rsidRPr="00BF041A">
        <w:instrText xml:space="preserve">" \s "dabmci_7beaa3f3a1f549b6a940c874a26d63f2_5" \c 1 </w:instrText>
      </w:r>
      <w:r w:rsidR="00BF041A">
        <w:fldChar w:fldCharType="end"/>
      </w:r>
      <w:r w:rsidR="00C37065" w:rsidRPr="001A1FD3">
        <w:rPr>
          <w:i/>
        </w:rPr>
        <w:t>Id.</w:t>
      </w:r>
      <w:bookmarkEnd w:id="68"/>
      <w:r w:rsidR="00C37065" w:rsidRPr="001A1FD3">
        <w:t xml:space="preserve"> (quoting </w:t>
      </w:r>
      <w:bookmarkStart w:id="69" w:name="dabmci_71544d8b8e604fd18e4ce6059b5e1bc0"/>
      <w:r w:rsidR="00BF041A">
        <w:fldChar w:fldCharType="begin"/>
      </w:r>
      <w:r w:rsidR="00BF041A" w:rsidRPr="00BF041A">
        <w:instrText xml:space="preserve"> TA \l "</w:instrText>
      </w:r>
      <w:r w:rsidR="00BF041A" w:rsidRPr="00BF041A">
        <w:rPr>
          <w:i/>
          <w:color w:val="000000"/>
        </w:rPr>
        <w:instrText>In re Brown</w:instrText>
      </w:r>
      <w:r w:rsidR="00BF041A" w:rsidRPr="00BF041A">
        <w:rPr>
          <w:color w:val="000000"/>
        </w:rPr>
        <w:instrText>,</w:instrText>
      </w:r>
      <w:r w:rsidR="00BF041A" w:rsidRPr="00BF041A">
        <w:rPr>
          <w:color w:val="000000"/>
        </w:rPr>
        <w:br/>
        <w:instrText>951 F.2d 564 (3d Cir. 1991)</w:instrText>
      </w:r>
      <w:r w:rsidR="00BF041A" w:rsidRPr="00BF041A">
        <w:instrText xml:space="preserve">" \s "dabmci_7beaa3f3a1f549b6a940c874a26d63f2_5" \c 1 </w:instrText>
      </w:r>
      <w:r w:rsidR="00BF041A">
        <w:fldChar w:fldCharType="end"/>
      </w:r>
      <w:r w:rsidR="00C37065" w:rsidRPr="001A1FD3">
        <w:rPr>
          <w:i/>
        </w:rPr>
        <w:t>In re Brown</w:t>
      </w:r>
      <w:r w:rsidR="00C37065" w:rsidRPr="001A1FD3">
        <w:t>, 951 F.2d at 569</w:t>
      </w:r>
      <w:bookmarkEnd w:id="69"/>
      <w:r w:rsidR="00C37065" w:rsidRPr="001A1FD3">
        <w:t xml:space="preserve">). </w:t>
      </w:r>
      <w:r>
        <w:t>To make</w:t>
      </w:r>
      <w:r w:rsidR="00C37065" w:rsidRPr="001A1FD3">
        <w:t xml:space="preserve"> that determination, courts look to</w:t>
      </w:r>
      <w:r>
        <w:t>, among other things, “</w:t>
      </w:r>
      <w:r w:rsidR="00C37065" w:rsidRPr="001A1FD3">
        <w:t xml:space="preserve">whether that decision could have been, or actually was, appealed.” </w:t>
      </w:r>
      <w:bookmarkStart w:id="70" w:name="dabmci_df1a26fbdd924a4b9a65edc95876ff46"/>
      <w:r w:rsidR="00BF041A">
        <w:fldChar w:fldCharType="begin"/>
      </w:r>
      <w:r w:rsidR="00BF041A" w:rsidRPr="00BF041A">
        <w:instrText xml:space="preserve"> TA \l "</w:instrText>
      </w:r>
      <w:r w:rsidR="00BF041A" w:rsidRPr="00BF041A">
        <w:rPr>
          <w:i/>
          <w:color w:val="000000"/>
        </w:rPr>
        <w:instrText>In re Brown</w:instrText>
      </w:r>
      <w:r w:rsidR="00BF041A" w:rsidRPr="00BF041A">
        <w:rPr>
          <w:color w:val="000000"/>
        </w:rPr>
        <w:instrText>,</w:instrText>
      </w:r>
      <w:r w:rsidR="00BF041A" w:rsidRPr="00BF041A">
        <w:rPr>
          <w:color w:val="000000"/>
        </w:rPr>
        <w:br/>
        <w:instrText>951 F.2d 564 (3d Cir. 1991)</w:instrText>
      </w:r>
      <w:r w:rsidR="00BF041A" w:rsidRPr="00BF041A">
        <w:instrText xml:space="preserve">" \s "dabmci_7beaa3f3a1f549b6a940c874a26d63f2_5" \c 1 </w:instrText>
      </w:r>
      <w:r w:rsidR="00BF041A">
        <w:fldChar w:fldCharType="end"/>
      </w:r>
      <w:r w:rsidR="00C37065" w:rsidRPr="001A1FD3">
        <w:rPr>
          <w:i/>
        </w:rPr>
        <w:t>Id.</w:t>
      </w:r>
      <w:bookmarkEnd w:id="70"/>
      <w:r w:rsidR="00C37065" w:rsidRPr="001A1FD3">
        <w:t xml:space="preserve"> (quoting </w:t>
      </w:r>
      <w:bookmarkStart w:id="71" w:name="dabmci_e57d231d3b2242758586070373c22721"/>
      <w:r w:rsidR="00BF041A">
        <w:fldChar w:fldCharType="begin"/>
      </w:r>
      <w:r w:rsidR="00BF041A" w:rsidRPr="00BF041A">
        <w:instrText xml:space="preserve"> TA \l "</w:instrText>
      </w:r>
      <w:r w:rsidR="00BF041A" w:rsidRPr="00BF041A">
        <w:rPr>
          <w:i/>
          <w:color w:val="000000"/>
        </w:rPr>
        <w:instrText>In re Brown</w:instrText>
      </w:r>
      <w:r w:rsidR="00BF041A" w:rsidRPr="00BF041A">
        <w:rPr>
          <w:color w:val="000000"/>
        </w:rPr>
        <w:instrText>,</w:instrText>
      </w:r>
      <w:r w:rsidR="00BF041A" w:rsidRPr="00BF041A">
        <w:rPr>
          <w:color w:val="000000"/>
        </w:rPr>
        <w:br/>
        <w:instrText>951 F.2d 564 (3d Cir. 1991)</w:instrText>
      </w:r>
      <w:r w:rsidR="00BF041A" w:rsidRPr="00BF041A">
        <w:instrText xml:space="preserve">" \s "dabmci_7beaa3f3a1f549b6a940c874a26d63f2_5" \c 1 </w:instrText>
      </w:r>
      <w:r w:rsidR="00BF041A">
        <w:fldChar w:fldCharType="end"/>
      </w:r>
      <w:r w:rsidR="00C37065" w:rsidRPr="001A1FD3">
        <w:rPr>
          <w:i/>
        </w:rPr>
        <w:t>In re Brown</w:t>
      </w:r>
      <w:r w:rsidR="00C37065" w:rsidRPr="001A1FD3">
        <w:t>, 951 F.2d at 569</w:t>
      </w:r>
      <w:bookmarkEnd w:id="71"/>
      <w:r w:rsidR="00C37065" w:rsidRPr="001A1FD3">
        <w:t xml:space="preserve">). </w:t>
      </w:r>
    </w:p>
    <w:p w14:paraId="09098D6C" w14:textId="57445968" w:rsidR="00CA5F9A" w:rsidRPr="001A1FD3" w:rsidRDefault="00B3362D" w:rsidP="00C16E28">
      <w:pPr>
        <w:spacing w:line="480" w:lineRule="auto"/>
        <w:ind w:firstLine="720"/>
      </w:pPr>
      <w:r>
        <w:t xml:space="preserve">The United States does not dispute that NLC has carried its burden on the first two prongs of the collateral estoppel test (i.e., </w:t>
      </w:r>
      <w:r w:rsidR="0008069B">
        <w:t>that the</w:t>
      </w:r>
      <w:r>
        <w:t xml:space="preserve"> legal question at issue is substantially similar to the iss</w:t>
      </w:r>
      <w:r w:rsidR="0008069B">
        <w:t>ued decided in the 2009 lawsuit</w:t>
      </w:r>
      <w:r>
        <w:t xml:space="preserve"> and </w:t>
      </w:r>
      <w:r w:rsidR="0008069B">
        <w:t xml:space="preserve">that the </w:t>
      </w:r>
      <w:r>
        <w:t xml:space="preserve">issue was actually litigated). </w:t>
      </w:r>
      <w:r w:rsidR="0008069B">
        <w:t>But NLC cannot show that the</w:t>
      </w:r>
      <w:r w:rsidR="004D290E">
        <w:t xml:space="preserve"> issue was “determine</w:t>
      </w:r>
      <w:r w:rsidR="00C16E28">
        <w:t>d by a final and valid judgment” because a</w:t>
      </w:r>
      <w:r w:rsidR="006504E7" w:rsidRPr="001A1FD3">
        <w:t xml:space="preserve">s a decision on a </w:t>
      </w:r>
      <w:r w:rsidR="00CF2E3B">
        <w:t xml:space="preserve">pre-discovery, </w:t>
      </w:r>
      <w:r w:rsidR="006504E7" w:rsidRPr="001A1FD3">
        <w:t xml:space="preserve">partial motion to dismiss, </w:t>
      </w:r>
      <w:r w:rsidR="00060EA3" w:rsidRPr="001A1FD3">
        <w:rPr>
          <w:i/>
        </w:rPr>
        <w:t xml:space="preserve">NLC I </w:t>
      </w:r>
      <w:r w:rsidR="005A5FAB" w:rsidRPr="001A1FD3">
        <w:t>was unappealable</w:t>
      </w:r>
      <w:r w:rsidR="006504E7" w:rsidRPr="001A1FD3">
        <w:t xml:space="preserve">; so too was </w:t>
      </w:r>
      <w:r w:rsidR="006504E7" w:rsidRPr="001A1FD3">
        <w:rPr>
          <w:i/>
        </w:rPr>
        <w:t>NLC II</w:t>
      </w:r>
      <w:r w:rsidR="006504E7" w:rsidRPr="001A1FD3">
        <w:t xml:space="preserve">, which denied leave to amend </w:t>
      </w:r>
      <w:r w:rsidR="0023472F" w:rsidRPr="001A1FD3">
        <w:t>the complaint.</w:t>
      </w:r>
      <w:r w:rsidR="005A5FAB" w:rsidRPr="001A1FD3">
        <w:t xml:space="preserve"> </w:t>
      </w:r>
      <w:r w:rsidR="0008069B">
        <w:rPr>
          <w:i/>
        </w:rPr>
        <w:t>See i</w:t>
      </w:r>
      <w:r w:rsidR="006504E7" w:rsidRPr="001A1FD3">
        <w:rPr>
          <w:i/>
        </w:rPr>
        <w:t>d.</w:t>
      </w:r>
      <w:r w:rsidR="00B20060" w:rsidRPr="001A1FD3">
        <w:t xml:space="preserve">; </w:t>
      </w:r>
      <w:r w:rsidR="00B20060" w:rsidRPr="001A1FD3">
        <w:rPr>
          <w:i/>
        </w:rPr>
        <w:t>see also Kline v. Hall</w:t>
      </w:r>
      <w:r w:rsidR="00B20060" w:rsidRPr="001A1FD3">
        <w:t xml:space="preserve">, 12-CV-1727, 2013 U.S. </w:t>
      </w:r>
      <w:r w:rsidR="00B20060" w:rsidRPr="001A1FD3">
        <w:lastRenderedPageBreak/>
        <w:t>Dist. LEXIS 59143, at *11-13 (M.D. Pa. Apr. 25, 2013) (</w:t>
      </w:r>
      <w:r w:rsidR="0023472F" w:rsidRPr="001A1FD3">
        <w:t xml:space="preserve">holding that </w:t>
      </w:r>
      <w:r w:rsidR="002B71C9" w:rsidRPr="001A1FD3">
        <w:t xml:space="preserve">collateral estoppel </w:t>
      </w:r>
      <w:r w:rsidR="0023472F" w:rsidRPr="001A1FD3">
        <w:t xml:space="preserve">did not apply </w:t>
      </w:r>
      <w:r w:rsidR="002B71C9" w:rsidRPr="001A1FD3">
        <w:t>where decision at issue was unappealable</w:t>
      </w:r>
      <w:r w:rsidR="00CF2E3B">
        <w:t xml:space="preserve"> because he was the prevailing party in the underlying action</w:t>
      </w:r>
      <w:r w:rsidR="002B71C9" w:rsidRPr="001A1FD3">
        <w:t>)</w:t>
      </w:r>
      <w:r w:rsidR="00B20060" w:rsidRPr="001A1FD3">
        <w:t>.</w:t>
      </w:r>
      <w:r w:rsidR="0008069B">
        <w:rPr>
          <w:rStyle w:val="FootnoteReference"/>
        </w:rPr>
        <w:footnoteReference w:id="8"/>
      </w:r>
      <w:r w:rsidR="000C0E93" w:rsidRPr="001A1FD3">
        <w:t xml:space="preserve"> </w:t>
      </w:r>
      <w:r w:rsidR="00C02608">
        <w:t xml:space="preserve">In short, these decisions are not “sufficiently firm to be accorded conclusive effect.” </w:t>
      </w:r>
      <w:bookmarkStart w:id="73" w:name="dabmci_6c78d88e0eed4528910b2e0b0923feaa"/>
      <w:r w:rsidR="00BF041A">
        <w:fldChar w:fldCharType="begin"/>
      </w:r>
      <w:r w:rsidR="00BF041A" w:rsidRPr="00BF041A">
        <w:instrText xml:space="preserve"> TA \l "</w:instrText>
      </w:r>
      <w:r w:rsidR="00BF041A" w:rsidRPr="00BF041A">
        <w:rPr>
          <w:color w:val="000000"/>
        </w:rPr>
        <w:instrText>63 F.3d n.8</w:instrText>
      </w:r>
      <w:r w:rsidR="00BF041A" w:rsidRPr="00BF041A">
        <w:instrText xml:space="preserve">" \s "dabmci_2e83d2b8eaf845d8a5d26a6fa9cad789_4" \c 1 </w:instrText>
      </w:r>
      <w:r w:rsidR="00BF041A">
        <w:fldChar w:fldCharType="end"/>
      </w:r>
      <w:r w:rsidR="00C02608" w:rsidRPr="001A1FD3">
        <w:rPr>
          <w:i/>
        </w:rPr>
        <w:t>Burlington N. R.R.</w:t>
      </w:r>
      <w:r w:rsidR="00C02608" w:rsidRPr="001A1FD3">
        <w:t>, 63 F.3d at 1233 n.8</w:t>
      </w:r>
      <w:bookmarkEnd w:id="73"/>
      <w:r w:rsidR="0008069B">
        <w:t xml:space="preserve">. Furthermore, because the 2009 lawsuit was dismissed </w:t>
      </w:r>
      <w:r w:rsidR="00C16E28">
        <w:t>based</w:t>
      </w:r>
      <w:r w:rsidR="0008069B">
        <w:t xml:space="preserve"> </w:t>
      </w:r>
      <w:r w:rsidR="00C16E28">
        <w:t xml:space="preserve">on </w:t>
      </w:r>
      <w:r w:rsidR="0008069B">
        <w:t xml:space="preserve">the parties’ settlement agreement, NLC cannot </w:t>
      </w:r>
      <w:r w:rsidR="00C16E28">
        <w:t xml:space="preserve">show </w:t>
      </w:r>
      <w:r w:rsidR="0008069B">
        <w:t xml:space="preserve">that </w:t>
      </w:r>
      <w:r w:rsidR="0008069B">
        <w:rPr>
          <w:i/>
        </w:rPr>
        <w:t>NLC I</w:t>
      </w:r>
      <w:r w:rsidR="0008069B">
        <w:t xml:space="preserve"> or </w:t>
      </w:r>
      <w:r w:rsidR="0008069B">
        <w:rPr>
          <w:i/>
        </w:rPr>
        <w:t>NLC II</w:t>
      </w:r>
      <w:r w:rsidR="0008069B">
        <w:t xml:space="preserve"> were </w:t>
      </w:r>
      <w:r w:rsidR="00C16E28">
        <w:t xml:space="preserve">“essential to the prior judgment. </w:t>
      </w:r>
      <w:bookmarkStart w:id="74" w:name="dabmci_ed82f5d88d584563b34c920939d9c18c"/>
      <w:r w:rsidR="00BF041A">
        <w:fldChar w:fldCharType="begin"/>
      </w:r>
      <w:r w:rsidR="00BF041A" w:rsidRPr="00BF041A">
        <w:instrText xml:space="preserve"> TA \l "</w:instrText>
      </w:r>
      <w:r w:rsidR="00BF041A" w:rsidRPr="00BF041A">
        <w:rPr>
          <w:color w:val="000000"/>
        </w:rPr>
        <w:instrText>63 F.3d n.8</w:instrText>
      </w:r>
      <w:r w:rsidR="00BF041A" w:rsidRPr="00BF041A">
        <w:instrText xml:space="preserve">" \s "dabmci_2e83d2b8eaf845d8a5d26a6fa9cad789_4" \c 1 </w:instrText>
      </w:r>
      <w:r w:rsidR="00BF041A">
        <w:fldChar w:fldCharType="end"/>
      </w:r>
      <w:r w:rsidR="00C16E28">
        <w:rPr>
          <w:i/>
        </w:rPr>
        <w:t>Burlington N. R.R.</w:t>
      </w:r>
      <w:r w:rsidR="00C16E28">
        <w:t xml:space="preserve">, </w:t>
      </w:r>
      <w:r w:rsidR="00C16E28" w:rsidRPr="001A1FD3">
        <w:t>63 F.3d at</w:t>
      </w:r>
      <w:r w:rsidR="00C16E28">
        <w:t xml:space="preserve"> 1231-32</w:t>
      </w:r>
      <w:bookmarkEnd w:id="74"/>
      <w:r w:rsidR="00C16E28">
        <w:t xml:space="preserve">; </w:t>
      </w:r>
      <w:r w:rsidR="002D1E2E">
        <w:rPr>
          <w:i/>
        </w:rPr>
        <w:t xml:space="preserve">see also </w:t>
      </w:r>
      <w:bookmarkStart w:id="75" w:name="dabmci_ec8a26c0b0ee43c28da51705908fb23c"/>
      <w:r w:rsidR="00BF041A">
        <w:rPr>
          <w:i/>
        </w:rPr>
        <w:fldChar w:fldCharType="begin"/>
      </w:r>
      <w:r w:rsidR="00BF041A" w:rsidRPr="00BF041A">
        <w:instrText xml:space="preserve"> TA \l "</w:instrText>
      </w:r>
      <w:r w:rsidR="00BF041A" w:rsidRPr="00BF041A">
        <w:rPr>
          <w:i/>
          <w:color w:val="000000"/>
        </w:rPr>
        <w:instrText>Talmage v. Harris</w:instrText>
      </w:r>
      <w:r w:rsidR="00BF041A" w:rsidRPr="00BF041A">
        <w:rPr>
          <w:color w:val="000000"/>
        </w:rPr>
        <w:instrText>,</w:instrText>
      </w:r>
      <w:r w:rsidR="00BF041A" w:rsidRPr="00BF041A">
        <w:rPr>
          <w:color w:val="000000"/>
        </w:rPr>
        <w:br/>
        <w:instrText>486 F.3d 968 (7th Cir. 2007)</w:instrText>
      </w:r>
      <w:r w:rsidR="00BF041A" w:rsidRPr="00BF041A">
        <w:instrText xml:space="preserve">" \s "dabmci_ec8a26c0b0ee43c28da51705908fb23c_1" \c 1 </w:instrText>
      </w:r>
      <w:r w:rsidR="00BF041A">
        <w:rPr>
          <w:i/>
        </w:rPr>
        <w:fldChar w:fldCharType="end"/>
      </w:r>
      <w:r w:rsidR="00C16E28">
        <w:rPr>
          <w:i/>
        </w:rPr>
        <w:t>Talmage v. Harris</w:t>
      </w:r>
      <w:r w:rsidR="00C16E28">
        <w:t>, 486 F.3d 968, 974 (7th Cir. 2007)</w:t>
      </w:r>
      <w:bookmarkEnd w:id="75"/>
      <w:r w:rsidR="00C16E28">
        <w:t xml:space="preserve"> (“Normally, when a case is resolved by settlement or stipulation, courts will find that the ‘valid final judgment’ requirement of issue preclusion has not been satisfied.”). </w:t>
      </w:r>
    </w:p>
    <w:p w14:paraId="4E8319D6" w14:textId="12077EEA" w:rsidR="00E7766A" w:rsidRPr="00E7766A" w:rsidRDefault="00961C02" w:rsidP="00961C02">
      <w:pPr>
        <w:pStyle w:val="Heading2"/>
        <w:rPr>
          <w:szCs w:val="24"/>
        </w:rPr>
      </w:pPr>
      <w:bookmarkStart w:id="76" w:name="_Toc481414277"/>
      <w:r>
        <w:rPr>
          <w:szCs w:val="24"/>
          <w:u w:val="none"/>
        </w:rPr>
        <w:lastRenderedPageBreak/>
        <w:t xml:space="preserve">NLC VIOLATED § 12182(b)(1)(E) BY DENYING M.M.’S PARENTS EQUAL ACCESS TO ITS </w:t>
      </w:r>
      <w:r w:rsidR="00E7766A">
        <w:rPr>
          <w:szCs w:val="24"/>
          <w:u w:val="none"/>
        </w:rPr>
        <w:t xml:space="preserve">CHILD CARE SERVICES </w:t>
      </w:r>
      <w:r>
        <w:rPr>
          <w:szCs w:val="24"/>
          <w:u w:val="none"/>
        </w:rPr>
        <w:t>BECAUSE OF</w:t>
      </w:r>
      <w:r w:rsidR="00E7766A">
        <w:rPr>
          <w:szCs w:val="24"/>
          <w:u w:val="none"/>
        </w:rPr>
        <w:t xml:space="preserve"> THEIR DAUGHTER’S DISABILITY</w:t>
      </w:r>
      <w:bookmarkEnd w:id="76"/>
    </w:p>
    <w:p w14:paraId="16830A06" w14:textId="2BE22CDF" w:rsidR="00B67698" w:rsidRDefault="00C02608" w:rsidP="00E7766A">
      <w:pPr>
        <w:spacing w:line="480" w:lineRule="auto"/>
        <w:ind w:firstLine="720"/>
      </w:pPr>
      <w:r w:rsidRPr="00E7766A">
        <w:t>In commencing this action against NLC, the United States is vindicating the</w:t>
      </w:r>
      <w:r>
        <w:t xml:space="preserve"> public interest in combating disability discrimination</w:t>
      </w:r>
      <w:r w:rsidR="00961C02">
        <w:t xml:space="preserve"> by targeting </w:t>
      </w:r>
      <w:r>
        <w:t>two type</w:t>
      </w:r>
      <w:r w:rsidR="00E7766A">
        <w:t>s</w:t>
      </w:r>
      <w:r>
        <w:t xml:space="preserve"> of discrimination. The first focuses on the discriminatory conduct directed at M.M. (specifically, NLC’s refusal to make </w:t>
      </w:r>
      <w:r w:rsidR="00B67698" w:rsidRPr="001A1FD3">
        <w:t xml:space="preserve">reasonable modifications of its policies, practices, and procedures </w:t>
      </w:r>
      <w:r>
        <w:t xml:space="preserve">and its subsequent expulsion of M.M.). </w:t>
      </w:r>
      <w:r w:rsidR="00E7766A">
        <w:t xml:space="preserve">Compl. ¶¶ 1, </w:t>
      </w:r>
      <w:r w:rsidR="00B33C1F">
        <w:br/>
      </w:r>
      <w:r w:rsidR="00E7766A">
        <w:t xml:space="preserve">25-27, 29(a-c). </w:t>
      </w:r>
      <w:r>
        <w:t>The second focuses on the discriminatory conduct directed at M.M.’s parents</w:t>
      </w:r>
      <w:r w:rsidR="00961C02">
        <w:t xml:space="preserve"> (i.e., NLC’s denial of </w:t>
      </w:r>
      <w:r w:rsidR="00E7766A">
        <w:t xml:space="preserve">equal access to its child care services because of </w:t>
      </w:r>
      <w:r w:rsidR="00961C02">
        <w:t xml:space="preserve">M.M.’s </w:t>
      </w:r>
      <w:r w:rsidR="00E7766A">
        <w:t>disability</w:t>
      </w:r>
      <w:r w:rsidR="00814588">
        <w:t>)</w:t>
      </w:r>
      <w:r w:rsidR="00E7766A">
        <w:t xml:space="preserve">. </w:t>
      </w:r>
      <w:r w:rsidR="00E7766A">
        <w:rPr>
          <w:i/>
        </w:rPr>
        <w:t>Id.</w:t>
      </w:r>
      <w:r w:rsidR="00E7766A">
        <w:t xml:space="preserve"> ¶¶ 1, 25-27, 29(c). </w:t>
      </w:r>
      <w:r w:rsidR="00B67698" w:rsidRPr="001A1FD3">
        <w:t>NLC argues that th</w:t>
      </w:r>
      <w:r w:rsidR="00E7766A">
        <w:t>e United States cannot pursue the second type of claim</w:t>
      </w:r>
      <w:r w:rsidR="00961C02">
        <w:t xml:space="preserve"> </w:t>
      </w:r>
      <w:r w:rsidR="00E7766A">
        <w:t xml:space="preserve">because, according to NLC, any harm suffered by M.M.’s parents was </w:t>
      </w:r>
      <w:r w:rsidR="00AF561D">
        <w:t>“</w:t>
      </w:r>
      <w:r w:rsidR="00E7766A">
        <w:t>indirect</w:t>
      </w:r>
      <w:r w:rsidR="00AF561D">
        <w:t>”</w:t>
      </w:r>
      <w:r w:rsidR="00E7766A">
        <w:t xml:space="preserve"> and, therefore, not covered by </w:t>
      </w:r>
      <w:r w:rsidR="00961C02">
        <w:t>the ADA</w:t>
      </w:r>
      <w:r w:rsidR="00E7766A">
        <w:t xml:space="preserve">. </w:t>
      </w:r>
      <w:r w:rsidR="00B67698" w:rsidRPr="001A1FD3">
        <w:t xml:space="preserve">NLC </w:t>
      </w:r>
      <w:r w:rsidR="00C404CD" w:rsidRPr="001A1FD3">
        <w:t>Br.</w:t>
      </w:r>
      <w:r w:rsidR="00B67698" w:rsidRPr="001A1FD3">
        <w:t xml:space="preserve"> at 2</w:t>
      </w:r>
      <w:r w:rsidR="00AF561D">
        <w:t>2</w:t>
      </w:r>
      <w:r w:rsidR="00B67698" w:rsidRPr="001A1FD3">
        <w:t xml:space="preserve">-28. </w:t>
      </w:r>
    </w:p>
    <w:p w14:paraId="3C245582" w14:textId="184FBA81" w:rsidR="00E7766A" w:rsidRPr="001A1FD3" w:rsidRDefault="00E7766A" w:rsidP="00E7766A">
      <w:pPr>
        <w:spacing w:line="480" w:lineRule="auto"/>
        <w:ind w:firstLine="720"/>
      </w:pPr>
      <w:r>
        <w:t>In the Complaint</w:t>
      </w:r>
      <w:r w:rsidRPr="001A1FD3">
        <w:t xml:space="preserve">, the United States alleges that M.M.’s parents were “exclude[d] or otherwise den[ied] equal” access to the “goods, services, facilities, privileges, accommodations or other opportunities” offered by NLC. Compl. </w:t>
      </w:r>
      <w:r w:rsidRPr="001A1FD3">
        <w:lastRenderedPageBreak/>
        <w:t xml:space="preserve">¶¶ 1, 25, 26, 27, 29(c). And there is no dispute that M.M. had a “known disability” or that M.M.’s parents were “known to have a relationship” with M.M. Thus, the claim falls within the plain language of the statute. </w:t>
      </w:r>
      <w:r w:rsidR="00961C02">
        <w:rPr>
          <w:i/>
        </w:rPr>
        <w:t xml:space="preserve">See </w:t>
      </w:r>
      <w:bookmarkStart w:id="77" w:name="dabmci_70b04285c5ea4800ba5efe1458d9b5c8"/>
      <w:r w:rsidR="00BF041A">
        <w:rPr>
          <w:i/>
        </w:rPr>
        <w:fldChar w:fldCharType="begin"/>
      </w:r>
      <w:r w:rsidR="00BF041A" w:rsidRPr="00BF041A">
        <w:instrText xml:space="preserve"> TA \l "</w:instrText>
      </w:r>
      <w:r w:rsidR="00BF041A" w:rsidRPr="00BF041A">
        <w:rPr>
          <w:color w:val="000000"/>
        </w:rPr>
        <w:instrText>42 U.S.C. § 12182(b)(1)(E)</w:instrText>
      </w:r>
      <w:r w:rsidR="00BF041A" w:rsidRPr="00BF041A">
        <w:instrText xml:space="preserve">" \s "dabmci_2c343c04c17d4b39827170d14e44d8f1_4" \c 2 </w:instrText>
      </w:r>
      <w:r w:rsidR="00BF041A">
        <w:rPr>
          <w:i/>
        </w:rPr>
        <w:fldChar w:fldCharType="end"/>
      </w:r>
      <w:r w:rsidRPr="001A1FD3">
        <w:t>42 U.S.C. § 12182(b)(1)(E)</w:t>
      </w:r>
      <w:bookmarkEnd w:id="77"/>
      <w:r w:rsidRPr="001A1FD3">
        <w:t>.</w:t>
      </w:r>
    </w:p>
    <w:p w14:paraId="58F12116" w14:textId="615536A0" w:rsidR="00B67698" w:rsidRPr="001A1FD3" w:rsidRDefault="00C404CD" w:rsidP="00B67698">
      <w:pPr>
        <w:spacing w:line="480" w:lineRule="auto"/>
        <w:ind w:firstLine="720"/>
      </w:pPr>
      <w:r w:rsidRPr="001A1FD3">
        <w:t>T</w:t>
      </w:r>
      <w:r w:rsidR="00B67698" w:rsidRPr="001A1FD3">
        <w:t xml:space="preserve">hat M.M. </w:t>
      </w:r>
      <w:r w:rsidRPr="001A1FD3">
        <w:t xml:space="preserve">may have been the </w:t>
      </w:r>
      <w:r w:rsidR="00B67698" w:rsidRPr="001A1FD3">
        <w:t xml:space="preserve">primary victim </w:t>
      </w:r>
      <w:r w:rsidRPr="001A1FD3">
        <w:t>of NLC’s discrimination does not mean</w:t>
      </w:r>
      <w:r w:rsidR="00B67698" w:rsidRPr="001A1FD3">
        <w:t xml:space="preserve"> that </w:t>
      </w:r>
      <w:r w:rsidR="001560A3" w:rsidRPr="001A1FD3">
        <w:t xml:space="preserve">the </w:t>
      </w:r>
      <w:r w:rsidR="00B67698" w:rsidRPr="001A1FD3">
        <w:t xml:space="preserve">harm suffered by M.M.’s parents </w:t>
      </w:r>
      <w:r w:rsidR="00CA28CC" w:rsidRPr="001A1FD3">
        <w:t>is not actionable.</w:t>
      </w:r>
      <w:r w:rsidR="00B67698" w:rsidRPr="001A1FD3">
        <w:t xml:space="preserve"> Courts have routinely rejected similar attempts </w:t>
      </w:r>
      <w:r w:rsidR="00395335" w:rsidRPr="001A1FD3">
        <w:t>by defendants</w:t>
      </w:r>
      <w:r w:rsidR="00B67698" w:rsidRPr="001A1FD3">
        <w:t xml:space="preserve"> </w:t>
      </w:r>
      <w:r w:rsidRPr="001A1FD3">
        <w:t xml:space="preserve">to </w:t>
      </w:r>
      <w:r w:rsidR="00B67698" w:rsidRPr="001A1FD3">
        <w:t xml:space="preserve">narrowly define the goods or services they provide so as to avoid </w:t>
      </w:r>
      <w:r w:rsidR="00395335" w:rsidRPr="001A1FD3">
        <w:t xml:space="preserve">discrimination </w:t>
      </w:r>
      <w:r w:rsidR="00B67698" w:rsidRPr="001A1FD3">
        <w:t xml:space="preserve">claims by anyone other than the primary beneficiary of the goods or services provided. </w:t>
      </w:r>
      <w:r w:rsidR="00B67698" w:rsidRPr="001A1FD3">
        <w:rPr>
          <w:i/>
        </w:rPr>
        <w:t>See, e.g.</w:t>
      </w:r>
      <w:r w:rsidR="00B67698" w:rsidRPr="001A1FD3">
        <w:t xml:space="preserve">, </w:t>
      </w:r>
      <w:bookmarkStart w:id="78" w:name="dabmci_84b3dd246b5b4583a66dc818f90ee62e"/>
      <w:r w:rsidR="00BF041A">
        <w:fldChar w:fldCharType="begin"/>
      </w:r>
      <w:r w:rsidR="00BF041A" w:rsidRPr="00BF041A">
        <w:instrText xml:space="preserve"> TA \l "</w:instrText>
      </w:r>
      <w:r w:rsidR="00BF041A" w:rsidRPr="00BF041A">
        <w:rPr>
          <w:color w:val="000000"/>
        </w:rPr>
        <w:instrText>S</w:instrText>
      </w:r>
      <w:r w:rsidR="00BF041A" w:rsidRPr="00BF041A">
        <w:rPr>
          <w:i/>
          <w:color w:val="000000"/>
        </w:rPr>
        <w:instrText>heely v. MRI Radiology Network</w:instrText>
      </w:r>
      <w:r w:rsidR="00BF041A" w:rsidRPr="00BF041A">
        <w:rPr>
          <w:color w:val="000000"/>
        </w:rPr>
        <w:instrText>,</w:instrText>
      </w:r>
      <w:r w:rsidR="00BF041A" w:rsidRPr="00BF041A">
        <w:rPr>
          <w:color w:val="000000"/>
        </w:rPr>
        <w:br/>
        <w:instrText>505 F.3d 1173 (11th Cir. 2007)</w:instrText>
      </w:r>
      <w:r w:rsidR="00BF041A" w:rsidRPr="00BF041A">
        <w:instrText xml:space="preserve">" \s "dabmci_84b3dd246b5b4583a66dc818f90ee62e_1" \c 1 </w:instrText>
      </w:r>
      <w:r w:rsidR="00BF041A">
        <w:fldChar w:fldCharType="end"/>
      </w:r>
      <w:r w:rsidR="00B67698" w:rsidRPr="001A1FD3">
        <w:t>S</w:t>
      </w:r>
      <w:r w:rsidR="00B67698" w:rsidRPr="001A1FD3">
        <w:rPr>
          <w:i/>
        </w:rPr>
        <w:t>heely v. MRI Radiology Network</w:t>
      </w:r>
      <w:r w:rsidR="00B67698" w:rsidRPr="001A1FD3">
        <w:t>, 505 F.3d 1173, 1187 &amp; n.14 (11th Cir. 2007)</w:t>
      </w:r>
      <w:bookmarkEnd w:id="78"/>
      <w:r w:rsidR="00B67698" w:rsidRPr="001A1FD3">
        <w:t xml:space="preserve"> (</w:t>
      </w:r>
      <w:r w:rsidR="007A600F" w:rsidRPr="001A1FD3">
        <w:t>allowing</w:t>
      </w:r>
      <w:r w:rsidR="00B67698" w:rsidRPr="001A1FD3">
        <w:t xml:space="preserve"> parents to accompany their children to </w:t>
      </w:r>
      <w:r w:rsidR="007A600F" w:rsidRPr="001A1FD3">
        <w:t xml:space="preserve">an </w:t>
      </w:r>
      <w:r w:rsidR="00B67698" w:rsidRPr="001A1FD3">
        <w:t xml:space="preserve">MRI waiting area can be construed as a “benefit” to </w:t>
      </w:r>
      <w:r w:rsidR="007A600F" w:rsidRPr="001A1FD3">
        <w:t xml:space="preserve">the </w:t>
      </w:r>
      <w:r w:rsidR="00B67698" w:rsidRPr="001A1FD3">
        <w:t xml:space="preserve">parents); </w:t>
      </w:r>
      <w:bookmarkStart w:id="79" w:name="dabmci_a1eda73f24b04ecea7490fdcd67b4aae"/>
      <w:r w:rsidR="00BF041A">
        <w:fldChar w:fldCharType="begin"/>
      </w:r>
      <w:r w:rsidR="00BF041A" w:rsidRPr="00BF041A">
        <w:instrText xml:space="preserve"> TA \l "</w:instrText>
      </w:r>
      <w:r w:rsidR="00BF041A" w:rsidRPr="00BF041A">
        <w:rPr>
          <w:i/>
          <w:color w:val="000000"/>
        </w:rPr>
        <w:instrText>Rothschild v. Grottenthaler</w:instrText>
      </w:r>
      <w:r w:rsidR="00BF041A" w:rsidRPr="00BF041A">
        <w:rPr>
          <w:color w:val="000000"/>
        </w:rPr>
        <w:instrText>,</w:instrText>
      </w:r>
      <w:r w:rsidR="00BF041A" w:rsidRPr="00BF041A">
        <w:rPr>
          <w:color w:val="000000"/>
        </w:rPr>
        <w:br/>
        <w:instrText>907 F.2d 286 (2d Cir. 1990)</w:instrText>
      </w:r>
      <w:r w:rsidR="00BF041A" w:rsidRPr="00BF041A">
        <w:instrText xml:space="preserve">" \s "dabmci_a1eda73f24b04ecea7490fdcd67b4aae_1" \c 1 </w:instrText>
      </w:r>
      <w:r w:rsidR="00BF041A">
        <w:fldChar w:fldCharType="end"/>
      </w:r>
      <w:r w:rsidR="00B67698" w:rsidRPr="001A1FD3">
        <w:rPr>
          <w:i/>
        </w:rPr>
        <w:t>Rothschild v. Grottenthaler</w:t>
      </w:r>
      <w:r w:rsidR="00B67698" w:rsidRPr="001A1FD3">
        <w:t>, 907 F.2d 286, 290 (2d Cir. 1990)</w:t>
      </w:r>
      <w:bookmarkEnd w:id="79"/>
      <w:r w:rsidR="00B67698" w:rsidRPr="001A1FD3">
        <w:t xml:space="preserve"> (</w:t>
      </w:r>
      <w:r w:rsidR="00E9165C" w:rsidRPr="001A1FD3">
        <w:t xml:space="preserve">rejecting argument that </w:t>
      </w:r>
      <w:r w:rsidR="00B67698" w:rsidRPr="001A1FD3">
        <w:t xml:space="preserve">services and benefits of “public schools are </w:t>
      </w:r>
      <w:r w:rsidR="00E9165C" w:rsidRPr="001A1FD3">
        <w:t>for children, not their parents</w:t>
      </w:r>
      <w:r w:rsidR="00B67698" w:rsidRPr="001A1FD3">
        <w:t>”</w:t>
      </w:r>
      <w:r w:rsidR="00E9165C" w:rsidRPr="001A1FD3">
        <w:t>)</w:t>
      </w:r>
      <w:r w:rsidR="00B67698" w:rsidRPr="001A1FD3">
        <w:t xml:space="preserve">; </w:t>
      </w:r>
      <w:bookmarkStart w:id="80" w:name="dabmci_8560f6a0b760437cb695d9db89b8dbe1"/>
      <w:r w:rsidR="00BF041A">
        <w:fldChar w:fldCharType="begin"/>
      </w:r>
      <w:r w:rsidR="00BF041A" w:rsidRPr="00BF041A">
        <w:instrText xml:space="preserve"> TA \l "</w:instrText>
      </w:r>
      <w:r w:rsidR="00BF041A" w:rsidRPr="00BF041A">
        <w:rPr>
          <w:i/>
          <w:color w:val="000000"/>
        </w:rPr>
        <w:instrText>Bravin v. Mt. Sinai Med. Ctr.</w:instrText>
      </w:r>
      <w:r w:rsidR="00BF041A" w:rsidRPr="00BF041A">
        <w:rPr>
          <w:color w:val="000000"/>
        </w:rPr>
        <w:instrText>,</w:instrText>
      </w:r>
      <w:r w:rsidR="00BF041A" w:rsidRPr="00BF041A">
        <w:rPr>
          <w:color w:val="000000"/>
        </w:rPr>
        <w:br/>
        <w:instrText>58 F. Supp. 2d 269 (S.D.N.Y. 1999)</w:instrText>
      </w:r>
      <w:r w:rsidR="00BF041A" w:rsidRPr="00BF041A">
        <w:instrText xml:space="preserve">" \s "dabmci_8560f6a0b760437cb695d9db89b8dbe1_1" \c 1 </w:instrText>
      </w:r>
      <w:r w:rsidR="00BF041A">
        <w:fldChar w:fldCharType="end"/>
      </w:r>
      <w:r w:rsidR="00B67698" w:rsidRPr="001A1FD3">
        <w:rPr>
          <w:i/>
        </w:rPr>
        <w:t>Bravin v. Mt. Sinai Med. Ctr.</w:t>
      </w:r>
      <w:r w:rsidR="00B67698" w:rsidRPr="001A1FD3">
        <w:t xml:space="preserve">, 58 F. </w:t>
      </w:r>
      <w:r w:rsidR="00B67698" w:rsidRPr="001A1FD3">
        <w:lastRenderedPageBreak/>
        <w:t>Supp. 2d 269, 272 (S.D.N.Y. 1999)</w:t>
      </w:r>
      <w:bookmarkEnd w:id="80"/>
      <w:r w:rsidR="00B67698" w:rsidRPr="001A1FD3">
        <w:t xml:space="preserve"> (rejecting hospital’s argument that because pregnant women were the intended recipients of prenatal classes</w:t>
      </w:r>
      <w:r w:rsidR="00E9165C" w:rsidRPr="001A1FD3">
        <w:t xml:space="preserve">, </w:t>
      </w:r>
      <w:r w:rsidR="00B67698" w:rsidRPr="001A1FD3">
        <w:t xml:space="preserve">the hospital had no ADA obligations to </w:t>
      </w:r>
      <w:r w:rsidR="00E9165C" w:rsidRPr="001A1FD3">
        <w:t xml:space="preserve">a </w:t>
      </w:r>
      <w:r w:rsidR="00B67698" w:rsidRPr="001A1FD3">
        <w:t>deaf husband</w:t>
      </w:r>
      <w:r w:rsidR="00E9165C" w:rsidRPr="001A1FD3">
        <w:t xml:space="preserve"> who accompanied his wife).</w:t>
      </w:r>
    </w:p>
    <w:p w14:paraId="358F200F" w14:textId="5198F6AE" w:rsidR="00B67698" w:rsidRPr="001A1FD3" w:rsidRDefault="00390E85" w:rsidP="00B67698">
      <w:pPr>
        <w:spacing w:line="480" w:lineRule="auto"/>
        <w:ind w:firstLine="720"/>
      </w:pPr>
      <w:r>
        <w:t>E</w:t>
      </w:r>
      <w:r w:rsidR="00E7766A">
        <w:t>ven if M.M. was the</w:t>
      </w:r>
      <w:r w:rsidR="00B67698" w:rsidRPr="001A1FD3">
        <w:t xml:space="preserve"> </w:t>
      </w:r>
      <w:r w:rsidR="00C404CD" w:rsidRPr="001A1FD3">
        <w:t>“</w:t>
      </w:r>
      <w:r w:rsidR="00B67698" w:rsidRPr="001A1FD3">
        <w:t>primary</w:t>
      </w:r>
      <w:r w:rsidR="00C404CD" w:rsidRPr="001A1FD3">
        <w:t>”</w:t>
      </w:r>
      <w:r w:rsidR="00B67698" w:rsidRPr="001A1FD3">
        <w:t xml:space="preserve"> beneficiary of NLC’s child care services, </w:t>
      </w:r>
      <w:r w:rsidR="00E7766A">
        <w:t xml:space="preserve">the United States can still state a claim for associational discrimination based on the discrimination suffered by M.M.’s </w:t>
      </w:r>
      <w:r w:rsidR="00B67698" w:rsidRPr="001A1FD3">
        <w:t>parents</w:t>
      </w:r>
      <w:r w:rsidR="00E7766A">
        <w:t xml:space="preserve">. </w:t>
      </w:r>
      <w:r w:rsidR="00B67698" w:rsidRPr="001A1FD3">
        <w:t>For more than two years, M.M.</w:t>
      </w:r>
      <w:r w:rsidR="00A40C9D" w:rsidRPr="001A1FD3">
        <w:t>’s parents</w:t>
      </w:r>
      <w:r w:rsidR="00B67698" w:rsidRPr="001A1FD3">
        <w:t xml:space="preserve"> paid for Chesterbrook’s services and Chesterbrook, in turn, provided those services. </w:t>
      </w:r>
      <w:r w:rsidR="00223469" w:rsidRPr="00223469">
        <w:t>Compl.</w:t>
      </w:r>
      <w:r w:rsidR="00B67698" w:rsidRPr="001A1FD3">
        <w:t xml:space="preserve"> ¶¶ 12-21.</w:t>
      </w:r>
      <w:r w:rsidR="00223469">
        <w:t xml:space="preserve"> When M.M. was expelled because of her disability, her parents </w:t>
      </w:r>
      <w:r w:rsidR="00B67698" w:rsidRPr="001A1FD3">
        <w:t>were denied equal acces</w:t>
      </w:r>
      <w:r w:rsidR="00CA28CC" w:rsidRPr="001A1FD3">
        <w:t xml:space="preserve">s to </w:t>
      </w:r>
      <w:r w:rsidR="00223469">
        <w:t>NLC’s “</w:t>
      </w:r>
      <w:r w:rsidR="002A2970" w:rsidRPr="001A1FD3">
        <w:t>good</w:t>
      </w:r>
      <w:r w:rsidR="00493B8E" w:rsidRPr="001A1FD3">
        <w:t>s</w:t>
      </w:r>
      <w:r w:rsidR="002A2970" w:rsidRPr="001A1FD3">
        <w:t>, services, facilities, privileges, advantages and accommodations</w:t>
      </w:r>
      <w:r w:rsidR="00223469">
        <w:t xml:space="preserve">” because of their “relationship” to </w:t>
      </w:r>
      <w:bookmarkStart w:id="81" w:name="dabmci_418e77fbdf6944be911ddf38f943e633"/>
      <w:r w:rsidR="00BF041A">
        <w:fldChar w:fldCharType="begin"/>
      </w:r>
      <w:r w:rsidR="00BF041A" w:rsidRPr="00BF041A">
        <w:instrText xml:space="preserve"> TA \l "</w:instrText>
      </w:r>
      <w:r w:rsidR="00BF041A" w:rsidRPr="00BF041A">
        <w:rPr>
          <w:color w:val="000000"/>
        </w:rPr>
        <w:instrText>M.M. 42</w:instrText>
      </w:r>
      <w:r w:rsidR="00BF041A" w:rsidRPr="00BF041A">
        <w:instrText xml:space="preserve">" \s "dabmci_418e77fbdf6944be911ddf38f943e633_1" \c 5 </w:instrText>
      </w:r>
      <w:r w:rsidR="00BF041A">
        <w:fldChar w:fldCharType="end"/>
      </w:r>
      <w:r w:rsidR="00223469">
        <w:t>M.M. 42</w:t>
      </w:r>
      <w:bookmarkEnd w:id="81"/>
      <w:r w:rsidR="00223469">
        <w:t xml:space="preserve"> U.S.C. </w:t>
      </w:r>
      <w:r w:rsidR="00B33C1F">
        <w:br/>
      </w:r>
      <w:r w:rsidR="00223469">
        <w:t xml:space="preserve">§ 12182(b)(1)(E). </w:t>
      </w:r>
      <w:r w:rsidR="00645F8E">
        <w:t xml:space="preserve"> </w:t>
      </w:r>
    </w:p>
    <w:p w14:paraId="4ECDBBD6" w14:textId="25DA4259" w:rsidR="00B67698" w:rsidRPr="001A1FD3" w:rsidRDefault="00223469" w:rsidP="00223469">
      <w:pPr>
        <w:spacing w:line="480" w:lineRule="auto"/>
        <w:ind w:firstLine="720"/>
      </w:pPr>
      <w:r>
        <w:t xml:space="preserve">Expelling M.M. because of her disability had a </w:t>
      </w:r>
      <w:r w:rsidRPr="001A1FD3">
        <w:t xml:space="preserve">direct and measurable effect on </w:t>
      </w:r>
      <w:r>
        <w:t xml:space="preserve">her parents. </w:t>
      </w:r>
      <w:r w:rsidR="00B67698" w:rsidRPr="001A1FD3">
        <w:t xml:space="preserve">The process of searching for and securing an appropriate child care arrangement can take many months. </w:t>
      </w:r>
      <w:r w:rsidR="00C404CD" w:rsidRPr="001A1FD3">
        <w:t xml:space="preserve">During that process, </w:t>
      </w:r>
      <w:r w:rsidR="00C404CD" w:rsidRPr="001A1FD3">
        <w:lastRenderedPageBreak/>
        <w:t>p</w:t>
      </w:r>
      <w:r w:rsidR="00B67698" w:rsidRPr="001A1FD3">
        <w:t xml:space="preserve">arents weigh a range of factors, including the setting (i.e., in-home or at a facility, secular or religious); cost; proximity to a parent’s place of employment or to family or friends who might be able to help in an emergency; hours of operation; curriculum and recreational opportunities; and the crucial but indefinable “gut-feeling” that a parent has for a particular provider. Add to that the gravity of entrusting the care of a child, too young to communicate, to a complete stranger. The weight of these decisions is only amplified when </w:t>
      </w:r>
      <w:r w:rsidR="001D03AF" w:rsidRPr="001A1FD3">
        <w:t xml:space="preserve">a </w:t>
      </w:r>
      <w:r w:rsidR="00B67698" w:rsidRPr="001A1FD3">
        <w:t xml:space="preserve">child </w:t>
      </w:r>
      <w:r w:rsidR="001D03AF" w:rsidRPr="001A1FD3">
        <w:t xml:space="preserve">has a </w:t>
      </w:r>
      <w:r w:rsidR="00C404CD" w:rsidRPr="001A1FD3">
        <w:t>disab</w:t>
      </w:r>
      <w:r w:rsidR="001D03AF" w:rsidRPr="001A1FD3">
        <w:t>ility</w:t>
      </w:r>
      <w:r w:rsidR="00B67698" w:rsidRPr="001A1FD3">
        <w:t xml:space="preserve">. </w:t>
      </w:r>
      <w:r>
        <w:t>In short, d</w:t>
      </w:r>
      <w:r w:rsidR="00B67698" w:rsidRPr="001A1FD3">
        <w:t>isruptions to child care</w:t>
      </w:r>
      <w:r>
        <w:t xml:space="preserve"> arrangements have </w:t>
      </w:r>
      <w:r w:rsidR="00B67698" w:rsidRPr="001A1FD3">
        <w:t xml:space="preserve">profound impacts on the parents, who </w:t>
      </w:r>
      <w:r w:rsidR="00C404CD" w:rsidRPr="001A1FD3">
        <w:t xml:space="preserve">may be </w:t>
      </w:r>
      <w:r w:rsidR="00B67698" w:rsidRPr="001A1FD3">
        <w:t xml:space="preserve">forced to miss work </w:t>
      </w:r>
      <w:r w:rsidR="006473DA" w:rsidRPr="001A1FD3">
        <w:t xml:space="preserve">or school </w:t>
      </w:r>
      <w:r w:rsidR="00B67698" w:rsidRPr="001A1FD3">
        <w:t xml:space="preserve">to care for the child or who may need to secure more expensive child care arrangements.  </w:t>
      </w:r>
    </w:p>
    <w:p w14:paraId="45ABD928" w14:textId="0A42BCFA" w:rsidR="006473DA" w:rsidRPr="001A1FD3" w:rsidRDefault="00B67698" w:rsidP="00057B5C">
      <w:pPr>
        <w:spacing w:line="480" w:lineRule="auto"/>
        <w:ind w:firstLine="720"/>
      </w:pPr>
      <w:r w:rsidRPr="001A1FD3">
        <w:t>NL</w:t>
      </w:r>
      <w:r w:rsidR="008A1FE0" w:rsidRPr="001A1FD3">
        <w:t xml:space="preserve">C asks this Court to ignore </w:t>
      </w:r>
      <w:r w:rsidR="00CA28CC" w:rsidRPr="001A1FD3">
        <w:t xml:space="preserve">the allegations </w:t>
      </w:r>
      <w:r w:rsidR="001560A3" w:rsidRPr="001A1FD3">
        <w:t xml:space="preserve">in the Complaint </w:t>
      </w:r>
      <w:r w:rsidR="00CA28CC" w:rsidRPr="001A1FD3">
        <w:t>and the statutory language</w:t>
      </w:r>
      <w:r w:rsidR="008A1FE0" w:rsidRPr="001A1FD3">
        <w:t xml:space="preserve"> </w:t>
      </w:r>
      <w:r w:rsidRPr="001A1FD3">
        <w:t>and be guided instead by the decision</w:t>
      </w:r>
      <w:r w:rsidR="00C12CCF" w:rsidRPr="001A1FD3">
        <w:t>s</w:t>
      </w:r>
      <w:r w:rsidRPr="001A1FD3">
        <w:t xml:space="preserve"> of </w:t>
      </w:r>
      <w:r w:rsidR="001560A3" w:rsidRPr="001A1FD3">
        <w:t xml:space="preserve">a </w:t>
      </w:r>
      <w:r w:rsidRPr="001A1FD3">
        <w:t>handful of other District Courts</w:t>
      </w:r>
      <w:r w:rsidR="00390E85">
        <w:t xml:space="preserve">. NLC relies principally upon </w:t>
      </w:r>
      <w:r w:rsidR="00390E85">
        <w:rPr>
          <w:i/>
        </w:rPr>
        <w:t xml:space="preserve">NLC I </w:t>
      </w:r>
      <w:r w:rsidR="00390E85">
        <w:t xml:space="preserve">and </w:t>
      </w:r>
      <w:r w:rsidR="00390E85">
        <w:rPr>
          <w:i/>
        </w:rPr>
        <w:t>NLC</w:t>
      </w:r>
      <w:r w:rsidR="00390E85" w:rsidRPr="00390E85">
        <w:rPr>
          <w:i/>
        </w:rPr>
        <w:t xml:space="preserve"> II</w:t>
      </w:r>
      <w:r w:rsidR="00390E85">
        <w:t xml:space="preserve">, </w:t>
      </w:r>
      <w:r w:rsidR="006049AB">
        <w:t xml:space="preserve">in which </w:t>
      </w:r>
      <w:r w:rsidR="00057B5C" w:rsidRPr="001A1FD3">
        <w:t xml:space="preserve">the </w:t>
      </w:r>
      <w:r w:rsidR="006473DA" w:rsidRPr="001A1FD3">
        <w:t xml:space="preserve">District Court </w:t>
      </w:r>
      <w:r w:rsidR="005178E9" w:rsidRPr="001A1FD3">
        <w:t xml:space="preserve">held that United States could not assert associational discrimination claims because it viewed the harm suffered by the parents as “indirect” or “derivative.” </w:t>
      </w:r>
      <w:r w:rsidRPr="001A1FD3">
        <w:rPr>
          <w:i/>
        </w:rPr>
        <w:t xml:space="preserve">See </w:t>
      </w:r>
      <w:bookmarkStart w:id="82" w:name="dabmci_a84be6c99a904fef9bd328326cab2eac"/>
      <w:r w:rsidR="00BF041A">
        <w:rPr>
          <w:i/>
        </w:rPr>
        <w:fldChar w:fldCharType="begin"/>
      </w:r>
      <w:r w:rsidR="00BF041A" w:rsidRPr="00BF041A">
        <w:instrText xml:space="preserve"> TA \l "</w:instrText>
      </w:r>
      <w:r w:rsidR="00BF041A" w:rsidRPr="00BF041A">
        <w:rPr>
          <w:i/>
          <w:color w:val="000000"/>
        </w:rPr>
        <w:instrText>United States v. Nobel Learning Cmtys., Inc.</w:instrText>
      </w:r>
      <w:r w:rsidR="00BF041A" w:rsidRPr="00BF041A">
        <w:rPr>
          <w:color w:val="000000"/>
        </w:rPr>
        <w:instrText>,</w:instrText>
      </w:r>
      <w:r w:rsidR="00BF041A" w:rsidRPr="00BF041A">
        <w:rPr>
          <w:color w:val="000000"/>
        </w:rPr>
        <w:br/>
        <w:instrText>676 F. Supp. 2d 379 (E.D. Pa. 2009)</w:instrText>
      </w:r>
      <w:r w:rsidR="00BF041A" w:rsidRPr="00BF041A">
        <w:instrText xml:space="preserve">" \s "dabmci_38c907d2434e41d19c75039a34350f99_4" \c 1 </w:instrText>
      </w:r>
      <w:r w:rsidR="00BF041A">
        <w:rPr>
          <w:i/>
        </w:rPr>
        <w:fldChar w:fldCharType="end"/>
      </w:r>
      <w:r w:rsidR="006473DA" w:rsidRPr="001A1FD3">
        <w:rPr>
          <w:i/>
        </w:rPr>
        <w:t>NLC I</w:t>
      </w:r>
      <w:r w:rsidRPr="001A1FD3">
        <w:t xml:space="preserve">, 676 F. Supp. 2d </w:t>
      </w:r>
      <w:r w:rsidR="006473DA" w:rsidRPr="001A1FD3">
        <w:t>at</w:t>
      </w:r>
      <w:r w:rsidRPr="001A1FD3">
        <w:t xml:space="preserve"> 388</w:t>
      </w:r>
      <w:bookmarkEnd w:id="82"/>
      <w:r w:rsidRPr="001A1FD3">
        <w:t xml:space="preserve">; </w:t>
      </w:r>
      <w:r w:rsidR="006473DA" w:rsidRPr="001A1FD3">
        <w:rPr>
          <w:i/>
        </w:rPr>
        <w:t>NLC II</w:t>
      </w:r>
      <w:r w:rsidR="006473DA" w:rsidRPr="001A1FD3">
        <w:t xml:space="preserve">, </w:t>
      </w:r>
      <w:r w:rsidRPr="001A1FD3">
        <w:lastRenderedPageBreak/>
        <w:t>2010 U.S. Dist. LEXIS 27688, at *12.</w:t>
      </w:r>
      <w:r w:rsidRPr="001A1FD3">
        <w:rPr>
          <w:rStyle w:val="FootnoteReference"/>
        </w:rPr>
        <w:footnoteReference w:id="9"/>
      </w:r>
      <w:r w:rsidR="006473DA" w:rsidRPr="001A1FD3">
        <w:t xml:space="preserve"> </w:t>
      </w:r>
      <w:r w:rsidR="006049AB" w:rsidRPr="006049AB">
        <w:t>Those decisions</w:t>
      </w:r>
      <w:r w:rsidR="006049AB">
        <w:t xml:space="preserve">, however, </w:t>
      </w:r>
      <w:r w:rsidR="00CA28CC" w:rsidRPr="001A1FD3">
        <w:t xml:space="preserve">are predicated on an </w:t>
      </w:r>
      <w:r w:rsidR="001560A3" w:rsidRPr="001A1FD3">
        <w:t>overly</w:t>
      </w:r>
      <w:r w:rsidR="00645F8E">
        <w:t xml:space="preserve">-narrow view of the ADA’s </w:t>
      </w:r>
      <w:r w:rsidR="00CA28CC" w:rsidRPr="001A1FD3">
        <w:t>associational discri</w:t>
      </w:r>
      <w:r w:rsidR="001560A3" w:rsidRPr="001A1FD3">
        <w:t>mination provision</w:t>
      </w:r>
      <w:r w:rsidR="00223469">
        <w:t xml:space="preserve"> and, as discussed at length above, t</w:t>
      </w:r>
      <w:r w:rsidR="00645F8E">
        <w:t xml:space="preserve">he case was settled before any appeals </w:t>
      </w:r>
      <w:r w:rsidR="006473DA" w:rsidRPr="001A1FD3">
        <w:t xml:space="preserve">could </w:t>
      </w:r>
      <w:r w:rsidR="00645F8E">
        <w:t xml:space="preserve">have been </w:t>
      </w:r>
      <w:r w:rsidR="006473DA" w:rsidRPr="001A1FD3">
        <w:t xml:space="preserve">taken. </w:t>
      </w:r>
    </w:p>
    <w:p w14:paraId="6CB6BA41" w14:textId="75F2C899" w:rsidR="00FA113A" w:rsidRPr="001A1FD3" w:rsidRDefault="00223469" w:rsidP="00E34999">
      <w:pPr>
        <w:spacing w:line="480" w:lineRule="auto"/>
        <w:ind w:firstLine="720"/>
      </w:pPr>
      <w:r>
        <w:t xml:space="preserve">Section </w:t>
      </w:r>
      <w:r w:rsidR="004D290E">
        <w:t>12182(b)(1)(E)</w:t>
      </w:r>
      <w:r>
        <w:t xml:space="preserve"> </w:t>
      </w:r>
      <w:r w:rsidR="004D290E">
        <w:t>reflects the breadth of the ADA’s protections</w:t>
      </w:r>
      <w:r>
        <w:t xml:space="preserve">. Nothing in that provision </w:t>
      </w:r>
      <w:r w:rsidR="004D290E">
        <w:t>lends itself to the narr</w:t>
      </w:r>
      <w:r>
        <w:t>ow construction imposed by the District C</w:t>
      </w:r>
      <w:r w:rsidR="004D290E">
        <w:t xml:space="preserve">ourt in </w:t>
      </w:r>
      <w:r w:rsidR="004D290E" w:rsidRPr="004D290E">
        <w:rPr>
          <w:i/>
        </w:rPr>
        <w:t>NLC I</w:t>
      </w:r>
      <w:r w:rsidR="004D290E">
        <w:t xml:space="preserve">. </w:t>
      </w:r>
      <w:r w:rsidR="006049AB">
        <w:t>E</w:t>
      </w:r>
      <w:r w:rsidR="00B67698" w:rsidRPr="001A1FD3">
        <w:t xml:space="preserve">ven if </w:t>
      </w:r>
      <w:r w:rsidR="001560A3" w:rsidRPr="001A1FD3">
        <w:rPr>
          <w:i/>
        </w:rPr>
        <w:t>NLC I</w:t>
      </w:r>
      <w:r w:rsidR="001560A3" w:rsidRPr="001A1FD3">
        <w:t xml:space="preserve"> </w:t>
      </w:r>
      <w:r w:rsidR="00F75C0A" w:rsidRPr="001A1FD3">
        <w:t xml:space="preserve">was </w:t>
      </w:r>
      <w:r w:rsidR="00B67698" w:rsidRPr="001A1FD3">
        <w:t xml:space="preserve">correct in </w:t>
      </w:r>
      <w:r w:rsidR="00057B5C" w:rsidRPr="001A1FD3">
        <w:t xml:space="preserve">reading </w:t>
      </w:r>
      <w:r w:rsidR="00B67698" w:rsidRPr="001A1FD3">
        <w:t>a “direct”</w:t>
      </w:r>
      <w:r w:rsidR="001560A3" w:rsidRPr="001A1FD3">
        <w:t xml:space="preserve"> </w:t>
      </w:r>
      <w:r w:rsidR="001560A3" w:rsidRPr="001A1FD3">
        <w:lastRenderedPageBreak/>
        <w:t xml:space="preserve">injury </w:t>
      </w:r>
      <w:r w:rsidR="00B67698" w:rsidRPr="001A1FD3">
        <w:t>requirement</w:t>
      </w:r>
      <w:r w:rsidR="001560A3" w:rsidRPr="001A1FD3">
        <w:t xml:space="preserve"> into § 12182(b)(1)(E), the</w:t>
      </w:r>
      <w:r w:rsidR="00D1243D" w:rsidRPr="001A1FD3">
        <w:t xml:space="preserve"> discrimination</w:t>
      </w:r>
      <w:r w:rsidR="001560A3" w:rsidRPr="001A1FD3">
        <w:t xml:space="preserve"> suffered by the parents</w:t>
      </w:r>
      <w:r w:rsidR="00D1243D" w:rsidRPr="001A1FD3">
        <w:t xml:space="preserve"> in that case (that is, the denial of equal access to NLC’s child care services) </w:t>
      </w:r>
      <w:r w:rsidR="001560A3" w:rsidRPr="001A1FD3">
        <w:t>should have satisfied the requirements of § 12182(b)(1)(E).</w:t>
      </w:r>
      <w:r w:rsidR="00AF561D">
        <w:rPr>
          <w:rStyle w:val="FootnoteReference"/>
        </w:rPr>
        <w:footnoteReference w:id="10"/>
      </w:r>
      <w:r w:rsidR="00B67698" w:rsidRPr="001A1FD3">
        <w:t xml:space="preserve"> </w:t>
      </w:r>
      <w:r w:rsidR="00E34999" w:rsidRPr="001A1FD3">
        <w:t>R</w:t>
      </w:r>
      <w:r w:rsidR="00B67698" w:rsidRPr="001A1FD3">
        <w:t xml:space="preserve">ather than follow </w:t>
      </w:r>
      <w:r w:rsidR="00FA113A" w:rsidRPr="001A1FD3">
        <w:rPr>
          <w:i/>
        </w:rPr>
        <w:t>NLC I</w:t>
      </w:r>
      <w:r w:rsidR="00B67698" w:rsidRPr="001A1FD3">
        <w:t xml:space="preserve">, this Court should accept as true the </w:t>
      </w:r>
      <w:r w:rsidR="006049AB">
        <w:t>United States</w:t>
      </w:r>
      <w:r>
        <w:t>’</w:t>
      </w:r>
      <w:r w:rsidR="006049AB">
        <w:t xml:space="preserve"> allegation that </w:t>
      </w:r>
      <w:r w:rsidR="004D290E">
        <w:t xml:space="preserve">NLC discriminated against </w:t>
      </w:r>
      <w:r w:rsidR="00B67698" w:rsidRPr="001A1FD3">
        <w:t>M.M.’s parents</w:t>
      </w:r>
      <w:r w:rsidR="004D290E">
        <w:t xml:space="preserve"> by denying them equal access to its daycare program </w:t>
      </w:r>
      <w:r w:rsidR="00B67698" w:rsidRPr="001A1FD3">
        <w:t>and interpret § 12182(b)(1)(E) in a manner that is consistent with the overall goal of the ADA</w:t>
      </w:r>
      <w:r w:rsidR="00FA113A" w:rsidRPr="001A1FD3">
        <w:t>.</w:t>
      </w:r>
      <w:r w:rsidR="00645F8E" w:rsidRPr="001A1FD3">
        <w:rPr>
          <w:rStyle w:val="FootnoteReference"/>
        </w:rPr>
        <w:footnoteReference w:id="11"/>
      </w:r>
      <w:r w:rsidR="00FA113A" w:rsidRPr="001A1FD3">
        <w:t xml:space="preserve"> </w:t>
      </w:r>
    </w:p>
    <w:p w14:paraId="391450F1" w14:textId="63E8F9D6" w:rsidR="00E34999" w:rsidRPr="001A1FD3" w:rsidRDefault="00FA113A" w:rsidP="00E34999">
      <w:pPr>
        <w:spacing w:line="480" w:lineRule="auto"/>
        <w:ind w:firstLine="720"/>
      </w:pPr>
      <w:r w:rsidRPr="001A1FD3">
        <w:lastRenderedPageBreak/>
        <w:t xml:space="preserve">The </w:t>
      </w:r>
      <w:r w:rsidR="00E34999" w:rsidRPr="001A1FD3">
        <w:t xml:space="preserve">reasoning from a more </w:t>
      </w:r>
      <w:r w:rsidR="00B67698" w:rsidRPr="001A1FD3">
        <w:t>recent decision from another Third Circuit district court</w:t>
      </w:r>
      <w:r w:rsidRPr="001A1FD3">
        <w:t xml:space="preserve"> is instructive. </w:t>
      </w:r>
      <w:r w:rsidR="00B67698" w:rsidRPr="001A1FD3">
        <w:t xml:space="preserve">In </w:t>
      </w:r>
      <w:r w:rsidR="00B67698" w:rsidRPr="001A1FD3">
        <w:rPr>
          <w:i/>
        </w:rPr>
        <w:t>S.K. v. Alleghany School District</w:t>
      </w:r>
      <w:r w:rsidR="00B67698" w:rsidRPr="001A1FD3">
        <w:t xml:space="preserve">, the </w:t>
      </w:r>
      <w:r w:rsidR="00225A9A" w:rsidRPr="001A1FD3">
        <w:t>U.S.</w:t>
      </w:r>
      <w:r w:rsidR="00B67698" w:rsidRPr="001A1FD3">
        <w:t xml:space="preserve"> District Court for the Middle District of Pennsylvania held that a parent adequately pleaded an associational discrimination claim where a school district refused to provide certa</w:t>
      </w:r>
      <w:r w:rsidR="00225A9A" w:rsidRPr="001A1FD3">
        <w:t xml:space="preserve">in transportation services to the parent’s </w:t>
      </w:r>
      <w:r w:rsidR="00B67698" w:rsidRPr="001A1FD3">
        <w:t xml:space="preserve">disabled child. </w:t>
      </w:r>
      <w:bookmarkStart w:id="89" w:name="dabmci_007f9ad8306e4221a978b31d011bb54d"/>
      <w:r w:rsidR="00BF041A">
        <w:fldChar w:fldCharType="begin"/>
      </w:r>
      <w:r w:rsidR="00BF041A" w:rsidRPr="00BF041A">
        <w:instrText xml:space="preserve"> TA \l "</w:instrText>
      </w:r>
      <w:r w:rsidR="00BF041A" w:rsidRPr="00BF041A">
        <w:rPr>
          <w:color w:val="000000"/>
        </w:rPr>
        <w:instrText>146 F. Supp. 3d 700 (W.D. Pa. 2015)</w:instrText>
      </w:r>
      <w:r w:rsidR="00BF041A" w:rsidRPr="00BF041A">
        <w:instrText xml:space="preserve">" \s "dabmci_007f9ad8306e4221a978b31d011bb54d_1" \c 1 </w:instrText>
      </w:r>
      <w:r w:rsidR="00BF041A">
        <w:fldChar w:fldCharType="end"/>
      </w:r>
      <w:r w:rsidR="00B67698" w:rsidRPr="001A1FD3">
        <w:t>146 F. Supp. 3d 700, 704 (W.D. Pa. 2015)</w:t>
      </w:r>
      <w:bookmarkEnd w:id="89"/>
      <w:r w:rsidR="00B67698" w:rsidRPr="001A1FD3">
        <w:t>.</w:t>
      </w:r>
      <w:r w:rsidR="00B67698" w:rsidRPr="001A1FD3">
        <w:rPr>
          <w:rStyle w:val="FootnoteReference"/>
        </w:rPr>
        <w:footnoteReference w:id="12"/>
      </w:r>
      <w:r w:rsidR="00B67698" w:rsidRPr="001A1FD3">
        <w:t xml:space="preserve"> The District Court held that, by refusing to provide transportation to the child, the parent “plausibly show[ed] she suffered a direct injury,” namely, “exclusion from full access to the transportation service provided by the [school district].” </w:t>
      </w:r>
      <w:r w:rsidR="00B67698" w:rsidRPr="001A1FD3">
        <w:rPr>
          <w:i/>
        </w:rPr>
        <w:t>Id.</w:t>
      </w:r>
      <w:r w:rsidR="00B67698" w:rsidRPr="001A1FD3">
        <w:t xml:space="preserve"> at 71</w:t>
      </w:r>
      <w:r w:rsidR="00225A9A" w:rsidRPr="001A1FD3">
        <w:t xml:space="preserve">8. It did not matter </w:t>
      </w:r>
      <w:r w:rsidR="00B67698" w:rsidRPr="001A1FD3">
        <w:t xml:space="preserve">that the parent was not physically </w:t>
      </w:r>
      <w:r w:rsidR="00E34999" w:rsidRPr="001A1FD3">
        <w:t xml:space="preserve">present </w:t>
      </w:r>
      <w:r w:rsidR="00B67698" w:rsidRPr="001A1FD3">
        <w:t xml:space="preserve">on the bus </w:t>
      </w:r>
      <w:r w:rsidR="00383C57" w:rsidRPr="001A1FD3">
        <w:t>(</w:t>
      </w:r>
      <w:r w:rsidR="00225A9A" w:rsidRPr="001A1FD3">
        <w:t>or that the parent</w:t>
      </w:r>
      <w:r w:rsidR="00383C57" w:rsidRPr="001A1FD3">
        <w:t xml:space="preserve"> </w:t>
      </w:r>
      <w:r w:rsidR="00645F8E">
        <w:t xml:space="preserve">was </w:t>
      </w:r>
      <w:r w:rsidR="00383C57" w:rsidRPr="001A1FD3">
        <w:t>personally</w:t>
      </w:r>
      <w:r w:rsidR="00383C57" w:rsidRPr="001A1FD3">
        <w:rPr>
          <w:i/>
        </w:rPr>
        <w:t xml:space="preserve"> </w:t>
      </w:r>
      <w:r w:rsidR="00383C57" w:rsidRPr="001A1FD3">
        <w:t xml:space="preserve">denied </w:t>
      </w:r>
      <w:r w:rsidR="00383C57" w:rsidRPr="001A1FD3">
        <w:lastRenderedPageBreak/>
        <w:t>transportation). W</w:t>
      </w:r>
      <w:r w:rsidR="00B67698" w:rsidRPr="001A1FD3">
        <w:t>hat mattered to the Court</w:t>
      </w:r>
      <w:r w:rsidR="00225A9A" w:rsidRPr="001A1FD3">
        <w:t xml:space="preserve">, </w:t>
      </w:r>
      <w:r w:rsidR="00B67698" w:rsidRPr="001A1FD3">
        <w:t xml:space="preserve">and what matters under </w:t>
      </w:r>
      <w:r w:rsidR="00225A9A" w:rsidRPr="001A1FD3">
        <w:t xml:space="preserve">§ 12182(b)(1)(E), </w:t>
      </w:r>
      <w:r w:rsidR="00B67698" w:rsidRPr="001A1FD3">
        <w:t xml:space="preserve">is that withholding the transportation service from the child </w:t>
      </w:r>
      <w:r w:rsidR="002D1E2E">
        <w:t>denied the parent equal access to a service based on the child’s disability</w:t>
      </w:r>
      <w:r w:rsidR="00383C57" w:rsidRPr="001A1FD3">
        <w:t xml:space="preserve">. </w:t>
      </w:r>
    </w:p>
    <w:p w14:paraId="5B71F4CE" w14:textId="446DC066" w:rsidR="00B67698" w:rsidRPr="001A1FD3" w:rsidRDefault="00645F8E" w:rsidP="004A0212">
      <w:pPr>
        <w:spacing w:line="480" w:lineRule="auto"/>
        <w:ind w:firstLine="720"/>
      </w:pPr>
      <w:r w:rsidRPr="001A1FD3">
        <w:t xml:space="preserve">Just as the parent in </w:t>
      </w:r>
      <w:r w:rsidRPr="001A1FD3">
        <w:rPr>
          <w:i/>
        </w:rPr>
        <w:t>S.K.</w:t>
      </w:r>
      <w:r w:rsidRPr="001A1FD3">
        <w:t xml:space="preserve"> was denied equal access to the </w:t>
      </w:r>
      <w:r w:rsidR="00292202">
        <w:t xml:space="preserve">school district’s </w:t>
      </w:r>
      <w:r w:rsidRPr="001A1FD3">
        <w:t xml:space="preserve">transportation services, </w:t>
      </w:r>
      <w:r>
        <w:t xml:space="preserve">so too were </w:t>
      </w:r>
      <w:r w:rsidRPr="001A1FD3">
        <w:t>M.M’s parents denied equal access to NLC’s child care services.</w:t>
      </w:r>
      <w:r>
        <w:t xml:space="preserve"> </w:t>
      </w:r>
      <w:r w:rsidR="00B67698" w:rsidRPr="001A1FD3">
        <w:t>Even though NLC expelled M.M., and even though M.M.’s parents were not</w:t>
      </w:r>
      <w:r w:rsidR="00383C57" w:rsidRPr="001A1FD3">
        <w:t>, themselves,</w:t>
      </w:r>
      <w:r w:rsidR="00B67698" w:rsidRPr="001A1FD3">
        <w:t xml:space="preserve"> </w:t>
      </w:r>
      <w:r w:rsidR="00947286" w:rsidRPr="001A1FD3">
        <w:t>expelled from Chesterbrook</w:t>
      </w:r>
      <w:r w:rsidR="00E34999" w:rsidRPr="001A1FD3">
        <w:t xml:space="preserve">, </w:t>
      </w:r>
      <w:r w:rsidR="004A0212">
        <w:t xml:space="preserve">that expulsion denied M.M.’s parents equal access to NLC’s child care services because of M.M.’s disability. That denial of services </w:t>
      </w:r>
      <w:r w:rsidR="00947286" w:rsidRPr="001A1FD3">
        <w:t xml:space="preserve">was itself discriminatory and resulted in measureable </w:t>
      </w:r>
      <w:r>
        <w:t>harms</w:t>
      </w:r>
      <w:r w:rsidR="00B67698" w:rsidRPr="001A1FD3">
        <w:t>.</w:t>
      </w:r>
      <w:r w:rsidR="00E34999" w:rsidRPr="001A1FD3">
        <w:rPr>
          <w:rStyle w:val="FootnoteReference"/>
        </w:rPr>
        <w:footnoteReference w:id="13"/>
      </w:r>
      <w:r w:rsidR="00B67698" w:rsidRPr="001A1FD3">
        <w:t xml:space="preserve"> </w:t>
      </w:r>
    </w:p>
    <w:p w14:paraId="3DC97913" w14:textId="5310CFA1" w:rsidR="00D74108" w:rsidRPr="001A1FD3" w:rsidRDefault="00292202" w:rsidP="00D74108">
      <w:pPr>
        <w:spacing w:line="480" w:lineRule="auto"/>
        <w:ind w:firstLine="720"/>
      </w:pPr>
      <w:r>
        <w:lastRenderedPageBreak/>
        <w:t xml:space="preserve">The United States’ position </w:t>
      </w:r>
      <w:r w:rsidR="00B67698" w:rsidRPr="001A1FD3">
        <w:t xml:space="preserve">is </w:t>
      </w:r>
      <w:r w:rsidR="00645F8E">
        <w:t xml:space="preserve">also </w:t>
      </w:r>
      <w:r w:rsidR="00B67698" w:rsidRPr="001A1FD3">
        <w:t>consistent with how courts treat associational discrimination claims in contexts outside of education and child care. Associational discrimination claims often arise when architectural barriers—for instance, the absence of wheelchair ramps—exclude a person with a disability fro</w:t>
      </w:r>
      <w:r w:rsidR="00D74108" w:rsidRPr="001A1FD3">
        <w:t xml:space="preserve">m accessing a Title III </w:t>
      </w:r>
      <w:r w:rsidR="00814588">
        <w:t>facility</w:t>
      </w:r>
      <w:r w:rsidR="00B67698" w:rsidRPr="001A1FD3">
        <w:t>. If the person with a disability is accompanied by a person without a disability—for instance, a non-disabled parent accompanying a child</w:t>
      </w:r>
      <w:r w:rsidR="005D41ED" w:rsidRPr="001A1FD3">
        <w:t xml:space="preserve"> who uses a wheelchair</w:t>
      </w:r>
      <w:r w:rsidR="00B67698" w:rsidRPr="001A1FD3">
        <w:t xml:space="preserve">—both individuals </w:t>
      </w:r>
      <w:r w:rsidR="00645F8E">
        <w:t xml:space="preserve">could </w:t>
      </w:r>
      <w:r w:rsidR="005D41ED" w:rsidRPr="001A1FD3">
        <w:t xml:space="preserve">have a viable ADA </w:t>
      </w:r>
      <w:r w:rsidR="00B67698" w:rsidRPr="001A1FD3">
        <w:t xml:space="preserve">claim based on the facility’s failure to </w:t>
      </w:r>
      <w:r w:rsidR="005D41ED" w:rsidRPr="001A1FD3">
        <w:t>remove barriers</w:t>
      </w:r>
      <w:r w:rsidR="00B67698" w:rsidRPr="001A1FD3">
        <w:t xml:space="preserve">. </w:t>
      </w:r>
      <w:r w:rsidR="00B67698" w:rsidRPr="001A1FD3">
        <w:rPr>
          <w:i/>
        </w:rPr>
        <w:t>See, e.g.</w:t>
      </w:r>
      <w:r w:rsidR="00B67698" w:rsidRPr="001A1FD3">
        <w:t xml:space="preserve">, </w:t>
      </w:r>
      <w:bookmarkStart w:id="92" w:name="dabmci_d0c26643e5324381917ae6f587eeee70"/>
      <w:r w:rsidR="00BF041A">
        <w:fldChar w:fldCharType="begin"/>
      </w:r>
      <w:r w:rsidR="00BF041A" w:rsidRPr="00BF041A">
        <w:instrText xml:space="preserve"> TA \l "</w:instrText>
      </w:r>
      <w:r w:rsidR="00BF041A" w:rsidRPr="00BF041A">
        <w:rPr>
          <w:i/>
          <w:color w:val="000000"/>
        </w:rPr>
        <w:instrText>George v. AZ Eagle TT Corp.</w:instrText>
      </w:r>
      <w:r w:rsidR="00BF041A" w:rsidRPr="00BF041A">
        <w:rPr>
          <w:color w:val="000000"/>
        </w:rPr>
        <w:instrText>,</w:instrText>
      </w:r>
      <w:r w:rsidR="00BF041A" w:rsidRPr="00BF041A">
        <w:rPr>
          <w:color w:val="000000"/>
        </w:rPr>
        <w:br/>
        <w:instrText>961 F. Supp. 2d 971 (D. Ariz. 2013)</w:instrText>
      </w:r>
      <w:r w:rsidR="00BF041A" w:rsidRPr="00BF041A">
        <w:instrText xml:space="preserve">" \s "dabmci_d0c26643e5324381917ae6f587eeee70_1" \c 1 </w:instrText>
      </w:r>
      <w:r w:rsidR="00BF041A">
        <w:fldChar w:fldCharType="end"/>
      </w:r>
      <w:r w:rsidR="00B67698" w:rsidRPr="001A1FD3">
        <w:rPr>
          <w:i/>
        </w:rPr>
        <w:t>George v. AZ Eagle TT Corp.</w:t>
      </w:r>
      <w:r w:rsidR="00B67698" w:rsidRPr="001A1FD3">
        <w:t>, 961 F. Supp. 2d 971, 974-76 (D. Ariz. 2013)</w:t>
      </w:r>
      <w:bookmarkEnd w:id="92"/>
      <w:r w:rsidR="00B67698" w:rsidRPr="001A1FD3">
        <w:t xml:space="preserve"> (holding that non-disabled father stated associational discrimination claim where he alleged that he was deterred from visiting a shopping center because of architectural barriers that had the effect of excluding his disabled son); </w:t>
      </w:r>
      <w:r w:rsidR="00B67698" w:rsidRPr="001A1FD3">
        <w:rPr>
          <w:i/>
        </w:rPr>
        <w:t>Spector v. Norwegian Cruise Line Ltd.</w:t>
      </w:r>
      <w:r w:rsidR="00B67698" w:rsidRPr="001A1FD3">
        <w:t>, No. 00-</w:t>
      </w:r>
      <w:r w:rsidR="00B33C1F">
        <w:t>CV-</w:t>
      </w:r>
      <w:r w:rsidR="00B67698" w:rsidRPr="001A1FD3">
        <w:t xml:space="preserve">2649, 2002 U.S. Dist. LEXIS 28074 </w:t>
      </w:r>
      <w:r w:rsidR="00B67698" w:rsidRPr="001A1FD3">
        <w:lastRenderedPageBreak/>
        <w:t xml:space="preserve">(S.D. Tex. Sept. 9, 2002), </w:t>
      </w:r>
      <w:r w:rsidR="00B67698" w:rsidRPr="006049AB">
        <w:rPr>
          <w:i/>
        </w:rPr>
        <w:t>aff’d in part, rev’d in part</w:t>
      </w:r>
      <w:r w:rsidR="00B67698" w:rsidRPr="001A1FD3">
        <w:t xml:space="preserve">, </w:t>
      </w:r>
      <w:bookmarkStart w:id="93" w:name="dabmci_6a54a40307454fbdb6b0cbab7d43eaac"/>
      <w:r w:rsidR="00BF041A">
        <w:fldChar w:fldCharType="begin"/>
      </w:r>
      <w:r w:rsidR="00BF041A" w:rsidRPr="00BF041A">
        <w:instrText xml:space="preserve"> TA \l "</w:instrText>
      </w:r>
      <w:r w:rsidR="00BF041A" w:rsidRPr="00BF041A">
        <w:rPr>
          <w:color w:val="000000"/>
        </w:rPr>
        <w:instrText>356 F.3d  (5th Cir. 2004)</w:instrText>
      </w:r>
      <w:r w:rsidR="00BF041A" w:rsidRPr="00BF041A">
        <w:instrText xml:space="preserve">" \s "dabmci_6a54a40307454fbdb6b0cbab7d43eaac_1" \c 1 </w:instrText>
      </w:r>
      <w:r w:rsidR="00BF041A">
        <w:fldChar w:fldCharType="end"/>
      </w:r>
      <w:r w:rsidR="00B67698" w:rsidRPr="001A1FD3">
        <w:t>356 F.3d 631 (5th Cir. 2004)</w:t>
      </w:r>
      <w:bookmarkEnd w:id="93"/>
      <w:r w:rsidR="00B67698" w:rsidRPr="001A1FD3">
        <w:t>,</w:t>
      </w:r>
      <w:r w:rsidR="00B67698" w:rsidRPr="006049AB">
        <w:rPr>
          <w:i/>
        </w:rPr>
        <w:t xml:space="preserve"> rev’d on other grounds</w:t>
      </w:r>
      <w:r w:rsidR="00B67698" w:rsidRPr="001A1FD3">
        <w:t xml:space="preserve">, </w:t>
      </w:r>
      <w:bookmarkStart w:id="94" w:name="dabmci_5c5f6cb89b9e4878b7e7167960dd3a01"/>
      <w:r w:rsidR="00B67698" w:rsidRPr="001A1FD3">
        <w:t>545 U.S. 119 (2005)</w:t>
      </w:r>
      <w:bookmarkEnd w:id="94"/>
      <w:r w:rsidR="00B67698" w:rsidRPr="001A1FD3">
        <w:t xml:space="preserve"> (holding that a cruise ship passenger </w:t>
      </w:r>
      <w:r w:rsidR="006049AB">
        <w:t>stated</w:t>
      </w:r>
      <w:r w:rsidR="00B67698" w:rsidRPr="001A1FD3">
        <w:t xml:space="preserve"> associational discrimination claim where she could not upgrade cabins bec</w:t>
      </w:r>
      <w:r w:rsidR="00D74108" w:rsidRPr="001A1FD3">
        <w:t xml:space="preserve">ause of </w:t>
      </w:r>
      <w:r w:rsidR="006049AB">
        <w:t xml:space="preserve">companion’s </w:t>
      </w:r>
      <w:r w:rsidR="00D74108" w:rsidRPr="001A1FD3">
        <w:t>accessibility problems)</w:t>
      </w:r>
      <w:r w:rsidR="00B67698" w:rsidRPr="001A1FD3">
        <w:t xml:space="preserve">. </w:t>
      </w:r>
    </w:p>
    <w:p w14:paraId="75369981" w14:textId="77777777" w:rsidR="00B67698" w:rsidRPr="001A1FD3" w:rsidRDefault="00FA113A" w:rsidP="00D74108">
      <w:pPr>
        <w:spacing w:line="480" w:lineRule="auto"/>
        <w:ind w:firstLine="720"/>
      </w:pPr>
      <w:r w:rsidRPr="001A1FD3">
        <w:t xml:space="preserve">The principles </w:t>
      </w:r>
      <w:r w:rsidR="005D41ED" w:rsidRPr="001A1FD3">
        <w:t xml:space="preserve">underpinning </w:t>
      </w:r>
      <w:r w:rsidRPr="001A1FD3">
        <w:t>these associational discrimination decisions apply with equal force here.</w:t>
      </w:r>
      <w:r w:rsidR="00383C57" w:rsidRPr="001A1FD3">
        <w:t xml:space="preserve"> </w:t>
      </w:r>
      <w:r w:rsidR="00D74108" w:rsidRPr="001A1FD3">
        <w:t xml:space="preserve">The </w:t>
      </w:r>
      <w:r w:rsidR="00383C57" w:rsidRPr="001A1FD3">
        <w:t xml:space="preserve">Complaint alleges that NLC </w:t>
      </w:r>
      <w:r w:rsidR="00D74108" w:rsidRPr="001A1FD3">
        <w:t xml:space="preserve">discriminated against </w:t>
      </w:r>
      <w:r w:rsidR="00383C57" w:rsidRPr="001A1FD3">
        <w:t xml:space="preserve">M.M.’s parents </w:t>
      </w:r>
      <w:r w:rsidR="00D74108" w:rsidRPr="001A1FD3">
        <w:t>by denying them</w:t>
      </w:r>
      <w:r w:rsidR="00383C57" w:rsidRPr="001A1FD3">
        <w:t xml:space="preserve"> equal access to its child care services based on their relationship</w:t>
      </w:r>
      <w:r w:rsidR="00D74108" w:rsidRPr="001A1FD3">
        <w:t xml:space="preserve"> to an individual with a disability. </w:t>
      </w:r>
      <w:r w:rsidRPr="001A1FD3">
        <w:t xml:space="preserve">That is precisely the type of discrimination that § </w:t>
      </w:r>
      <w:r w:rsidR="00FC00AF" w:rsidRPr="001A1FD3">
        <w:t xml:space="preserve">12182(b)(1)(E) was designed to </w:t>
      </w:r>
      <w:r w:rsidRPr="001A1FD3">
        <w:t xml:space="preserve">root out. </w:t>
      </w:r>
    </w:p>
    <w:p w14:paraId="4AABCE44" w14:textId="77777777" w:rsidR="00985595" w:rsidRPr="001A1FD3" w:rsidRDefault="00CF18E9" w:rsidP="00261682">
      <w:pPr>
        <w:pStyle w:val="Heading2"/>
        <w:rPr>
          <w:szCs w:val="24"/>
          <w:u w:val="none"/>
        </w:rPr>
      </w:pPr>
      <w:bookmarkStart w:id="95" w:name="_Toc481414278"/>
      <w:r w:rsidRPr="001A1FD3">
        <w:rPr>
          <w:szCs w:val="24"/>
          <w:u w:val="none"/>
        </w:rPr>
        <w:t xml:space="preserve">THE REQUEST FOR INJUNCTIVE RELIEF </w:t>
      </w:r>
      <w:r w:rsidR="00985595" w:rsidRPr="001A1FD3">
        <w:rPr>
          <w:szCs w:val="24"/>
          <w:u w:val="none"/>
        </w:rPr>
        <w:t xml:space="preserve">IS SUFFICIENTLY PLEADED AND IS AVAILABLE UNDER </w:t>
      </w:r>
      <w:r w:rsidR="00FA113A" w:rsidRPr="001A1FD3">
        <w:rPr>
          <w:szCs w:val="24"/>
          <w:u w:val="none"/>
        </w:rPr>
        <w:t>THE ADA</w:t>
      </w:r>
      <w:bookmarkEnd w:id="95"/>
    </w:p>
    <w:p w14:paraId="3C14EFD4" w14:textId="77777777" w:rsidR="00261682" w:rsidRPr="001A1FD3" w:rsidRDefault="00261682" w:rsidP="00261682">
      <w:pPr>
        <w:spacing w:line="480" w:lineRule="auto"/>
        <w:ind w:firstLine="720"/>
      </w:pPr>
      <w:r w:rsidRPr="001A1FD3">
        <w:t>As with nearly every complaint</w:t>
      </w:r>
      <w:r w:rsidR="00F33AAA" w:rsidRPr="001A1FD3">
        <w:t xml:space="preserve"> </w:t>
      </w:r>
      <w:r w:rsidRPr="001A1FD3">
        <w:t xml:space="preserve">brought by the United States to enforce </w:t>
      </w:r>
      <w:r w:rsidR="004D72E6" w:rsidRPr="001A1FD3">
        <w:t>T</w:t>
      </w:r>
      <w:r w:rsidR="005D41ED" w:rsidRPr="001A1FD3">
        <w:t>itle III</w:t>
      </w:r>
      <w:r w:rsidRPr="001A1FD3">
        <w:t xml:space="preserve">, the United States here seeks injunctive relief (in addition to </w:t>
      </w:r>
      <w:r w:rsidR="001239FC" w:rsidRPr="001A1FD3">
        <w:t>other remedies</w:t>
      </w:r>
      <w:r w:rsidRPr="001A1FD3">
        <w:t xml:space="preserve">). Compl. at </w:t>
      </w:r>
      <w:r w:rsidR="00FA113A" w:rsidRPr="001A1FD3">
        <w:t>7</w:t>
      </w:r>
      <w:r w:rsidRPr="001A1FD3">
        <w:t xml:space="preserve">. NLC argues that the Court should “dismiss” that request for relief because M.M. no longer attends Chesterbrook Academy. </w:t>
      </w:r>
      <w:r w:rsidR="00723F08" w:rsidRPr="001A1FD3">
        <w:t>NLC</w:t>
      </w:r>
      <w:r w:rsidRPr="001A1FD3">
        <w:t xml:space="preserve"> Br. at 20-21. NLC also </w:t>
      </w:r>
      <w:r w:rsidR="00BA70A7">
        <w:t>attacks</w:t>
      </w:r>
      <w:r w:rsidRPr="001A1FD3">
        <w:t xml:space="preserve"> the </w:t>
      </w:r>
      <w:r w:rsidRPr="001A1FD3">
        <w:lastRenderedPageBreak/>
        <w:t xml:space="preserve">request for injunctive relief as “extraordinarily broad” because it would force NLC “to comply generally with the ADA.” </w:t>
      </w:r>
      <w:r w:rsidR="00723F08" w:rsidRPr="001A1FD3">
        <w:rPr>
          <w:i/>
        </w:rPr>
        <w:t xml:space="preserve">Id. </w:t>
      </w:r>
      <w:r w:rsidRPr="001A1FD3">
        <w:t xml:space="preserve">at 21-22. These arguments misconstrue the </w:t>
      </w:r>
      <w:r w:rsidR="001239FC" w:rsidRPr="001A1FD3">
        <w:t>ADA</w:t>
      </w:r>
      <w:r w:rsidRPr="001A1FD3">
        <w:t xml:space="preserve"> and the United States’ pleading obligations.</w:t>
      </w:r>
    </w:p>
    <w:p w14:paraId="0A416BCA" w14:textId="77777777" w:rsidR="00261682" w:rsidRPr="001A1FD3" w:rsidRDefault="00261682" w:rsidP="00A40C9D">
      <w:pPr>
        <w:pStyle w:val="Heading3"/>
        <w:numPr>
          <w:ilvl w:val="0"/>
          <w:numId w:val="10"/>
        </w:numPr>
      </w:pPr>
      <w:bookmarkStart w:id="96" w:name="_Toc481414279"/>
      <w:r w:rsidRPr="001A1FD3">
        <w:t>The Attorney General Can Seek Injunctive Relief Even Though M.M. No Longer Attends Chesterbrook</w:t>
      </w:r>
      <w:bookmarkEnd w:id="96"/>
      <w:r w:rsidRPr="001A1FD3">
        <w:t xml:space="preserve"> </w:t>
      </w:r>
    </w:p>
    <w:p w14:paraId="0AD0DAB6" w14:textId="11EE530F" w:rsidR="005A22FA" w:rsidRPr="001A1FD3" w:rsidRDefault="004D72E6" w:rsidP="00BE722B">
      <w:pPr>
        <w:spacing w:line="480" w:lineRule="auto"/>
        <w:ind w:firstLine="720"/>
      </w:pPr>
      <w:r w:rsidRPr="001A1FD3">
        <w:t>W</w:t>
      </w:r>
      <w:r w:rsidR="005A22FA" w:rsidRPr="001A1FD3">
        <w:t>hen the</w:t>
      </w:r>
      <w:r w:rsidR="00261682" w:rsidRPr="001A1FD3">
        <w:t xml:space="preserve"> Attorney General</w:t>
      </w:r>
      <w:r w:rsidR="005A22FA" w:rsidRPr="001A1FD3">
        <w:t xml:space="preserve"> exercises his </w:t>
      </w:r>
      <w:r w:rsidR="00B8011F">
        <w:t xml:space="preserve">statutory authority </w:t>
      </w:r>
      <w:r w:rsidR="00261682" w:rsidRPr="001A1FD3">
        <w:t xml:space="preserve">to enforce the </w:t>
      </w:r>
      <w:r w:rsidR="001239FC" w:rsidRPr="001A1FD3">
        <w:t xml:space="preserve">ADA, </w:t>
      </w:r>
      <w:r w:rsidR="00261682" w:rsidRPr="001A1FD3">
        <w:t>district courts can award “any equitable relief that such cour</w:t>
      </w:r>
      <w:r w:rsidR="005A22FA" w:rsidRPr="001A1FD3">
        <w:t xml:space="preserve">t considers to be appropriate.” </w:t>
      </w:r>
      <w:bookmarkStart w:id="97" w:name="dabmci_29f02fb913de435588991d9041d18bbc"/>
      <w:r w:rsidR="00BF041A">
        <w:fldChar w:fldCharType="begin"/>
      </w:r>
      <w:r w:rsidR="00BF041A" w:rsidRPr="00BF041A">
        <w:instrText xml:space="preserve"> TA \l "</w:instrText>
      </w:r>
      <w:r w:rsidR="00BF041A" w:rsidRPr="00BF041A">
        <w:rPr>
          <w:color w:val="000000"/>
        </w:rPr>
        <w:instrText>42 U.S.C. § 12188(b)(2)</w:instrText>
      </w:r>
      <w:r w:rsidR="00BF041A" w:rsidRPr="00BF041A">
        <w:instrText xml:space="preserve">" \s "dabmci_29f02fb913de435588991d9041d18bbc_1" \c 2 </w:instrText>
      </w:r>
      <w:r w:rsidR="00BF041A">
        <w:fldChar w:fldCharType="end"/>
      </w:r>
      <w:r w:rsidR="005A22FA" w:rsidRPr="001A1FD3">
        <w:t xml:space="preserve">42 U.S.C. § </w:t>
      </w:r>
      <w:r w:rsidR="008B2EE4">
        <w:t>12188(b)(2)</w:t>
      </w:r>
      <w:bookmarkEnd w:id="97"/>
      <w:r w:rsidR="008B2EE4">
        <w:t xml:space="preserve">; </w:t>
      </w:r>
      <w:r w:rsidR="008B2EE4">
        <w:rPr>
          <w:i/>
        </w:rPr>
        <w:t xml:space="preserve">see also </w:t>
      </w:r>
      <w:r w:rsidR="008B2EE4">
        <w:t xml:space="preserve">42 U.S.C. </w:t>
      </w:r>
      <w:r w:rsidR="008B2EE4" w:rsidRPr="001A1FD3">
        <w:t>§ 12188(b)(2)(A)(i &amp; ii)</w:t>
      </w:r>
      <w:r w:rsidR="008B2EE4">
        <w:t xml:space="preserve"> (authorizing district courts to award, among other forms of equitable relief, </w:t>
      </w:r>
      <w:r w:rsidR="008B2EE4" w:rsidRPr="001A1FD3">
        <w:t>“temporary, preliminary, or permanent relief” and “modification of [a] policy, practice or procedure”</w:t>
      </w:r>
      <w:r w:rsidR="008B2EE4">
        <w:t>).</w:t>
      </w:r>
      <w:r w:rsidR="00261682" w:rsidRPr="001A1FD3">
        <w:t xml:space="preserve"> </w:t>
      </w:r>
      <w:r w:rsidR="008B2EE4">
        <w:t xml:space="preserve">The availability of equitable relief is vital to the Attorney General’s “central role in enforcing” the ADA and </w:t>
      </w:r>
      <w:r w:rsidR="004A0212">
        <w:t>in</w:t>
      </w:r>
      <w:r w:rsidR="008B2EE4">
        <w:t xml:space="preserve"> “provid[ing] clear, strong, consistent, enforceable standards addressing discrimination against individuals with disabilities.” </w:t>
      </w:r>
      <w:bookmarkStart w:id="98" w:name="dabmci_53d6fd3c1643480097f5eb0adc95c82b"/>
      <w:r w:rsidR="00BF041A">
        <w:fldChar w:fldCharType="begin"/>
      </w:r>
      <w:r w:rsidR="00BF041A" w:rsidRPr="00BF041A">
        <w:instrText xml:space="preserve"> TA \l "</w:instrText>
      </w:r>
      <w:r w:rsidR="00BF041A" w:rsidRPr="00BF041A">
        <w:rPr>
          <w:color w:val="000000"/>
        </w:rPr>
        <w:instrText>42 U.S.C. § 12101(b)(2-3)</w:instrText>
      </w:r>
      <w:r w:rsidR="00BF041A" w:rsidRPr="00BF041A">
        <w:instrText xml:space="preserve">" \s "dabmci_53d6fd3c1643480097f5eb0adc95c82b_1" \c 2 </w:instrText>
      </w:r>
      <w:r w:rsidR="00BF041A">
        <w:fldChar w:fldCharType="end"/>
      </w:r>
      <w:r w:rsidR="008B2EE4">
        <w:t xml:space="preserve">42 U.S.C. § </w:t>
      </w:r>
      <w:r w:rsidR="008B2EE4">
        <w:lastRenderedPageBreak/>
        <w:t>12101(b)(2-3)</w:t>
      </w:r>
      <w:bookmarkEnd w:id="98"/>
      <w:r w:rsidR="008B2EE4">
        <w:t>.</w:t>
      </w:r>
      <w:r w:rsidR="00653FD2" w:rsidRPr="001A1FD3">
        <w:rPr>
          <w:rStyle w:val="FootnoteReference"/>
        </w:rPr>
        <w:footnoteReference w:id="14"/>
      </w:r>
      <w:r w:rsidR="00261682" w:rsidRPr="001A1FD3">
        <w:t xml:space="preserve"> </w:t>
      </w:r>
      <w:r w:rsidR="001239FC" w:rsidRPr="001A1FD3">
        <w:t xml:space="preserve">This statutory language </w:t>
      </w:r>
      <w:r w:rsidR="00BE722B" w:rsidRPr="001A1FD3">
        <w:t xml:space="preserve">establishes </w:t>
      </w:r>
      <w:r w:rsidR="008B2EE4">
        <w:t xml:space="preserve">beyond any doubt that </w:t>
      </w:r>
      <w:r w:rsidR="00BE722B" w:rsidRPr="001A1FD3">
        <w:t>this Court has the power to award the equitable relief sought by the United States</w:t>
      </w:r>
      <w:r w:rsidR="00BA70A7">
        <w:t xml:space="preserve">, </w:t>
      </w:r>
      <w:r w:rsidR="00BE722B" w:rsidRPr="001A1FD3">
        <w:t xml:space="preserve">regardless of whether </w:t>
      </w:r>
      <w:r w:rsidR="001239FC" w:rsidRPr="001A1FD3">
        <w:t xml:space="preserve">M.M. currently attends NLC. </w:t>
      </w:r>
    </w:p>
    <w:p w14:paraId="09631FAF" w14:textId="77777777" w:rsidR="00261682" w:rsidRPr="001A1FD3" w:rsidRDefault="00261682" w:rsidP="00261682">
      <w:pPr>
        <w:pStyle w:val="Heading3"/>
      </w:pPr>
      <w:bookmarkStart w:id="99" w:name="_Toc481414280"/>
      <w:r w:rsidRPr="001A1FD3">
        <w:t xml:space="preserve">The </w:t>
      </w:r>
      <w:r w:rsidR="00FA113A" w:rsidRPr="001A1FD3">
        <w:t xml:space="preserve">United States’ </w:t>
      </w:r>
      <w:r w:rsidRPr="001A1FD3">
        <w:t>Request for Injunctive Relief Complies with Rule 8(a)(3)</w:t>
      </w:r>
      <w:bookmarkEnd w:id="99"/>
      <w:r w:rsidRPr="001A1FD3">
        <w:t xml:space="preserve"> </w:t>
      </w:r>
    </w:p>
    <w:p w14:paraId="3AC32C74" w14:textId="77777777" w:rsidR="00261682" w:rsidRPr="001A1FD3" w:rsidRDefault="00261682" w:rsidP="00261682">
      <w:pPr>
        <w:spacing w:line="480" w:lineRule="auto"/>
        <w:ind w:firstLine="720"/>
      </w:pPr>
      <w:r w:rsidRPr="001A1FD3">
        <w:t xml:space="preserve">NLC also argues that the Court should strike the </w:t>
      </w:r>
      <w:r w:rsidR="00FA113A" w:rsidRPr="001A1FD3">
        <w:t xml:space="preserve">United States’ </w:t>
      </w:r>
      <w:r w:rsidRPr="001A1FD3">
        <w:t xml:space="preserve">request for injunctive </w:t>
      </w:r>
      <w:r w:rsidR="00EB7DA2" w:rsidRPr="001A1FD3">
        <w:t xml:space="preserve">relief </w:t>
      </w:r>
      <w:r w:rsidRPr="001A1FD3">
        <w:t xml:space="preserve">because, in NLC’s view, the demand is overbroad. </w:t>
      </w:r>
      <w:r w:rsidR="00FA113A" w:rsidRPr="001A1FD3">
        <w:t>NLC</w:t>
      </w:r>
      <w:r w:rsidRPr="001A1FD3">
        <w:t xml:space="preserve"> Br. at 21. NLC characterizes the demand as little more than a request that NLC “obey the law in the future.” </w:t>
      </w:r>
      <w:r w:rsidRPr="001A1FD3">
        <w:rPr>
          <w:i/>
        </w:rPr>
        <w:t>Id.</w:t>
      </w:r>
      <w:r w:rsidR="00EB7DA2" w:rsidRPr="001A1FD3">
        <w:t xml:space="preserve"> at 21-22. NLC </w:t>
      </w:r>
      <w:r w:rsidR="00FA113A" w:rsidRPr="001A1FD3">
        <w:t xml:space="preserve">misstates the </w:t>
      </w:r>
      <w:r w:rsidRPr="001A1FD3">
        <w:t>United States’ pleading obligation.</w:t>
      </w:r>
    </w:p>
    <w:p w14:paraId="6C8D3A9A" w14:textId="0741619D" w:rsidR="00261682" w:rsidRPr="001A1FD3" w:rsidRDefault="00EB7DA2" w:rsidP="00EB7DA2">
      <w:pPr>
        <w:spacing w:line="480" w:lineRule="auto"/>
        <w:ind w:firstLine="720"/>
      </w:pPr>
      <w:r w:rsidRPr="001A1FD3">
        <w:t xml:space="preserve">The </w:t>
      </w:r>
      <w:r w:rsidR="004A0212">
        <w:t xml:space="preserve">United States’ request in the Complaint </w:t>
      </w:r>
      <w:r w:rsidR="00261682" w:rsidRPr="001A1FD3">
        <w:t xml:space="preserve">for injunctive relief </w:t>
      </w:r>
      <w:r w:rsidR="004A0212">
        <w:t xml:space="preserve">satisfies Rule 8(a)(3) </w:t>
      </w:r>
      <w:r w:rsidR="00261682" w:rsidRPr="001A1FD3">
        <w:t xml:space="preserve">because it demands a specific form of relief and alleges enough facts to show an entitlement to that relief. </w:t>
      </w:r>
      <w:bookmarkStart w:id="100" w:name="dabmci_97a938b1bd08499eb35825392710b650"/>
      <w:r w:rsidR="00BF041A">
        <w:fldChar w:fldCharType="begin"/>
      </w:r>
      <w:r w:rsidR="00BF041A" w:rsidRPr="00BF041A">
        <w:instrText xml:space="preserve"> TA \l "</w:instrText>
      </w:r>
      <w:r w:rsidR="00BF041A" w:rsidRPr="00BF041A">
        <w:rPr>
          <w:color w:val="000000"/>
        </w:rPr>
        <w:instrText>Fed. R. Civ. P. 8(a)(3)</w:instrText>
      </w:r>
      <w:r w:rsidR="00BF041A" w:rsidRPr="00BF041A">
        <w:instrText xml:space="preserve">" \s "dabmci_97a938b1bd08499eb35825392710b650_1" \c 3 </w:instrText>
      </w:r>
      <w:r w:rsidR="00BF041A">
        <w:fldChar w:fldCharType="end"/>
      </w:r>
      <w:r w:rsidR="00261682" w:rsidRPr="001A1FD3">
        <w:t>Fed. R. Civ. P. 8(a)(3)</w:t>
      </w:r>
      <w:bookmarkEnd w:id="100"/>
      <w:r w:rsidR="00261682" w:rsidRPr="001A1FD3">
        <w:t xml:space="preserve">; </w:t>
      </w:r>
      <w:bookmarkStart w:id="101" w:name="dabmci_45eb0fe876834d5c865379a46a50a591"/>
      <w:r w:rsidR="00BF041A">
        <w:fldChar w:fldCharType="begin"/>
      </w:r>
      <w:r w:rsidR="00BF041A" w:rsidRPr="00BF041A">
        <w:instrText xml:space="preserve"> TA \l "</w:instrText>
      </w:r>
      <w:r w:rsidR="00BF041A" w:rsidRPr="00BF041A">
        <w:rPr>
          <w:i/>
          <w:color w:val="000000"/>
        </w:rPr>
        <w:instrText>RKO-Stanley Warner Theaters, Inc. v. Mellon Nat'l Bank &amp; Trust</w:instrText>
      </w:r>
      <w:r w:rsidR="00BF041A" w:rsidRPr="00BF041A">
        <w:rPr>
          <w:color w:val="000000"/>
        </w:rPr>
        <w:instrText>,</w:instrText>
      </w:r>
      <w:r w:rsidR="00BF041A" w:rsidRPr="00BF041A">
        <w:rPr>
          <w:color w:val="000000"/>
        </w:rPr>
        <w:br/>
        <w:instrText>436 F.2d 1297 (3d Cir. 1970)</w:instrText>
      </w:r>
      <w:r w:rsidR="00BF041A" w:rsidRPr="00BF041A">
        <w:instrText xml:space="preserve">" \s "dabmci_45eb0fe876834d5c865379a46a50a591_1" \c 1 </w:instrText>
      </w:r>
      <w:r w:rsidR="00BF041A">
        <w:fldChar w:fldCharType="end"/>
      </w:r>
      <w:r w:rsidR="00261682" w:rsidRPr="001A1FD3">
        <w:rPr>
          <w:i/>
        </w:rPr>
        <w:t>RKO-</w:t>
      </w:r>
      <w:r w:rsidR="00261682" w:rsidRPr="001A1FD3">
        <w:rPr>
          <w:i/>
        </w:rPr>
        <w:lastRenderedPageBreak/>
        <w:t>Stanley Warner Theaters, Inc. v. Mellon Nat'l Bank &amp; Trust</w:t>
      </w:r>
      <w:r w:rsidR="00261682" w:rsidRPr="001A1FD3">
        <w:t>, 436 F.2d 1297, 1304 (3d Cir. 1970)</w:t>
      </w:r>
      <w:bookmarkEnd w:id="101"/>
      <w:r w:rsidR="00261682" w:rsidRPr="001A1FD3">
        <w:t xml:space="preserve"> (holding that </w:t>
      </w:r>
      <w:r w:rsidRPr="001A1FD3">
        <w:t xml:space="preserve">request for relief complied with </w:t>
      </w:r>
      <w:r w:rsidR="00261682" w:rsidRPr="001A1FD3">
        <w:t xml:space="preserve">Rule 8(a)(3) </w:t>
      </w:r>
      <w:r w:rsidR="00BA70A7">
        <w:t xml:space="preserve">where it </w:t>
      </w:r>
      <w:r w:rsidR="00261682" w:rsidRPr="001A1FD3">
        <w:t xml:space="preserve">sought injunctive relief against two defendants, but </w:t>
      </w:r>
      <w:r w:rsidR="00BA70A7">
        <w:t xml:space="preserve">not for a third defendant, against whom plaintiff </w:t>
      </w:r>
      <w:r w:rsidR="00261682" w:rsidRPr="001A1FD3">
        <w:t xml:space="preserve">only sought “such other order as the Court, in its discretion, deems necessary”); </w:t>
      </w:r>
      <w:r w:rsidR="00261682" w:rsidRPr="001A1FD3">
        <w:rPr>
          <w:i/>
        </w:rPr>
        <w:t>Triman Indus. v. Pentagon 2000 Software, Inc.</w:t>
      </w:r>
      <w:r w:rsidR="00261682" w:rsidRPr="001A1FD3">
        <w:t xml:space="preserve">, No. 14-CV-5842, 2015 U.S. Dist. LEXIS 56494, at *5-6 (D.N.J. Apr. 30, 2015) (holding that counterclaims, though “brief, unelaborate, and untitled,” </w:t>
      </w:r>
      <w:r w:rsidRPr="001A1FD3">
        <w:t xml:space="preserve">were sufficient </w:t>
      </w:r>
      <w:r w:rsidR="00261682" w:rsidRPr="001A1FD3">
        <w:t>because they include</w:t>
      </w:r>
      <w:r w:rsidRPr="001A1FD3">
        <w:t>d</w:t>
      </w:r>
      <w:r w:rsidR="00261682" w:rsidRPr="001A1FD3">
        <w:t xml:space="preserve"> short statement of facts underlyi</w:t>
      </w:r>
      <w:r w:rsidRPr="001A1FD3">
        <w:t>ng the counterclaims and demanded</w:t>
      </w:r>
      <w:r w:rsidR="00261682" w:rsidRPr="001A1FD3">
        <w:t xml:space="preserve"> damages in an amount to be determined at trial); </w:t>
      </w:r>
      <w:r w:rsidR="00261682" w:rsidRPr="001A1FD3">
        <w:rPr>
          <w:i/>
        </w:rPr>
        <w:t>cf.</w:t>
      </w:r>
      <w:r w:rsidR="00261682" w:rsidRPr="001A1FD3">
        <w:t xml:space="preserve"> </w:t>
      </w:r>
      <w:r w:rsidR="00261682" w:rsidRPr="001A1FD3">
        <w:rPr>
          <w:i/>
        </w:rPr>
        <w:t>Perdue v. City of Wilmington</w:t>
      </w:r>
      <w:r w:rsidR="00261682" w:rsidRPr="001A1FD3">
        <w:t xml:space="preserve">, No. 14-CV-44, 2014 U.S. Dist. LEXIS 86944, at *2-3 (D. Del. June 26, 2014) (citing </w:t>
      </w:r>
      <w:bookmarkStart w:id="102" w:name="dabmci_ab3ffa3658044d268e24867f72e74155"/>
      <w:r w:rsidR="00BF041A">
        <w:fldChar w:fldCharType="begin"/>
      </w:r>
      <w:r w:rsidR="00BF041A" w:rsidRPr="00BF041A">
        <w:instrText xml:space="preserve"> TA \l "</w:instrText>
      </w:r>
      <w:r w:rsidR="00BF041A" w:rsidRPr="00BF041A">
        <w:rPr>
          <w:i/>
          <w:color w:val="000000"/>
        </w:rPr>
        <w:instrText>Liggon-Redding v. Souser</w:instrText>
      </w:r>
      <w:r w:rsidR="00BF041A" w:rsidRPr="00BF041A">
        <w:rPr>
          <w:color w:val="000000"/>
        </w:rPr>
        <w:instrText>,</w:instrText>
      </w:r>
      <w:r w:rsidR="00BF041A" w:rsidRPr="00BF041A">
        <w:rPr>
          <w:color w:val="000000"/>
        </w:rPr>
        <w:br/>
        <w:instrText>352 F. App’x 618 (3d Cir. 2009)</w:instrText>
      </w:r>
      <w:r w:rsidR="00BF041A" w:rsidRPr="00BF041A">
        <w:instrText xml:space="preserve">" \s "dabmci_ab3ffa3658044d268e24867f72e74155_1" \c 1 </w:instrText>
      </w:r>
      <w:r w:rsidR="00BF041A">
        <w:fldChar w:fldCharType="end"/>
      </w:r>
      <w:r w:rsidR="00261682" w:rsidRPr="001A1FD3">
        <w:rPr>
          <w:i/>
        </w:rPr>
        <w:t>Liggon-Redding v. Souser</w:t>
      </w:r>
      <w:r w:rsidR="00261682" w:rsidRPr="001A1FD3">
        <w:t>, 352 F. App’x 618, 619 (3d Cir. 2009)</w:t>
      </w:r>
      <w:bookmarkEnd w:id="102"/>
      <w:r w:rsidR="00261682" w:rsidRPr="001A1FD3">
        <w:t>, and dismissing complaint, without prejudice, where plaintiff failed “to specify relief of any sort”)</w:t>
      </w:r>
      <w:r w:rsidRPr="001A1FD3">
        <w:t>.</w:t>
      </w:r>
    </w:p>
    <w:p w14:paraId="010E0555" w14:textId="5FD60363" w:rsidR="00261682" w:rsidRPr="001A1FD3" w:rsidRDefault="00261682" w:rsidP="00BA70A7">
      <w:pPr>
        <w:spacing w:line="480" w:lineRule="auto"/>
        <w:ind w:firstLine="720"/>
      </w:pPr>
      <w:r w:rsidRPr="001A1FD3">
        <w:lastRenderedPageBreak/>
        <w:t>NLC relies on two cases to support its position</w:t>
      </w:r>
      <w:r w:rsidR="00292202">
        <w:t xml:space="preserve">, neither of which have any bearing here. </w:t>
      </w:r>
      <w:r w:rsidR="00EE766D" w:rsidRPr="001A1FD3">
        <w:t>NLC Br. at 22</w:t>
      </w:r>
      <w:r w:rsidRPr="001A1FD3">
        <w:t xml:space="preserve">. </w:t>
      </w:r>
      <w:r w:rsidRPr="001A1FD3">
        <w:rPr>
          <w:i/>
        </w:rPr>
        <w:t>Public Interest Research Group of New Jersey v. Powell Duffryn Terminals, Inc.</w:t>
      </w:r>
      <w:r w:rsidR="00EE766D" w:rsidRPr="001A1FD3">
        <w:t xml:space="preserve"> </w:t>
      </w:r>
      <w:r w:rsidRPr="001A1FD3">
        <w:t xml:space="preserve">dealt with the terms of a </w:t>
      </w:r>
      <w:r w:rsidRPr="00BA70A7">
        <w:t>permanent injunction</w:t>
      </w:r>
      <w:r w:rsidRPr="001A1FD3">
        <w:t xml:space="preserve"> that was issued </w:t>
      </w:r>
      <w:r w:rsidRPr="00BA70A7">
        <w:t>after a bench trial</w:t>
      </w:r>
      <w:r w:rsidRPr="001A1FD3">
        <w:t xml:space="preserve">; it did not evaluate the sufficiency of the demand for injunctive relief in a complaint. </w:t>
      </w:r>
      <w:bookmarkStart w:id="103" w:name="dabmci_e9774b8a8c3d4d4ebd0a6be014faa349"/>
      <w:r w:rsidR="00BF041A">
        <w:fldChar w:fldCharType="begin"/>
      </w:r>
      <w:r w:rsidR="00BF041A" w:rsidRPr="00BF041A">
        <w:instrText xml:space="preserve"> TA \l "</w:instrText>
      </w:r>
      <w:r w:rsidR="00BF041A" w:rsidRPr="00BF041A">
        <w:rPr>
          <w:color w:val="000000"/>
        </w:rPr>
        <w:instrText>913 F.2d 64 (3d Cir. 1990)</w:instrText>
      </w:r>
      <w:r w:rsidR="00BF041A" w:rsidRPr="00BF041A">
        <w:instrText xml:space="preserve">" \s "dabmci_e9774b8a8c3d4d4ebd0a6be014faa349_1" \c 1 </w:instrText>
      </w:r>
      <w:r w:rsidR="00BF041A">
        <w:fldChar w:fldCharType="end"/>
      </w:r>
      <w:r w:rsidR="00EE766D" w:rsidRPr="001A1FD3">
        <w:t>913 F.2d 64, 82-83 (3d Cir. 1990)</w:t>
      </w:r>
      <w:bookmarkEnd w:id="103"/>
      <w:r w:rsidR="00EE766D" w:rsidRPr="001A1FD3">
        <w:t>.</w:t>
      </w:r>
      <w:r w:rsidRPr="001A1FD3">
        <w:t xml:space="preserve"> </w:t>
      </w:r>
      <w:r w:rsidR="00EC055C">
        <w:t>Similarly</w:t>
      </w:r>
      <w:r w:rsidR="00BA70A7">
        <w:t xml:space="preserve">, </w:t>
      </w:r>
      <w:r w:rsidRPr="001A1FD3">
        <w:rPr>
          <w:i/>
        </w:rPr>
        <w:t>Glover Construction Company, Inc. v. Babbitt</w:t>
      </w:r>
      <w:r w:rsidRPr="001A1FD3">
        <w:t xml:space="preserve"> addressed the terms and conditions of a permanent injunction; it did not so much as mention pleading requirements under Rule 8. </w:t>
      </w:r>
      <w:r w:rsidR="00EE766D" w:rsidRPr="001A1FD3">
        <w:t>No. 97-7122, 1999 U.S. App. LEXIS 1683, at *4-6 (10th Cir. Feb. 5, 1999)</w:t>
      </w:r>
      <w:r w:rsidRPr="001A1FD3">
        <w:t xml:space="preserve">.  </w:t>
      </w:r>
    </w:p>
    <w:p w14:paraId="11EF4A33" w14:textId="18859E36" w:rsidR="00261682" w:rsidRPr="001A1FD3" w:rsidRDefault="00EC055C" w:rsidP="00261682">
      <w:pPr>
        <w:spacing w:line="480" w:lineRule="auto"/>
        <w:ind w:firstLine="720"/>
      </w:pPr>
      <w:r>
        <w:t>T</w:t>
      </w:r>
      <w:r w:rsidR="00FA113A" w:rsidRPr="001A1FD3">
        <w:t xml:space="preserve">he </w:t>
      </w:r>
      <w:r w:rsidR="00261682" w:rsidRPr="001A1FD3">
        <w:t>Complaint satisfies the Attorney General’s pleading requirements: it includes a demand for relief</w:t>
      </w:r>
      <w:r w:rsidR="00FA113A" w:rsidRPr="001A1FD3">
        <w:t xml:space="preserve">, </w:t>
      </w:r>
      <w:r w:rsidR="00261682" w:rsidRPr="001A1FD3">
        <w:t>identifies the legal basis upon which that demand is sought</w:t>
      </w:r>
      <w:r w:rsidR="00FA113A" w:rsidRPr="001A1FD3">
        <w:t xml:space="preserve">, </w:t>
      </w:r>
      <w:r w:rsidR="00261682" w:rsidRPr="001A1FD3">
        <w:t>and alleges enough facts to show an entitlement to that form of relief.</w:t>
      </w:r>
      <w:r w:rsidR="00727575" w:rsidRPr="001A1FD3">
        <w:rPr>
          <w:rStyle w:val="FootnoteReference"/>
        </w:rPr>
        <w:footnoteReference w:id="15"/>
      </w:r>
      <w:r w:rsidR="00261682" w:rsidRPr="001A1FD3">
        <w:t xml:space="preserve"> </w:t>
      </w:r>
      <w:r w:rsidR="00261682" w:rsidRPr="001A1FD3">
        <w:rPr>
          <w:i/>
        </w:rPr>
        <w:t xml:space="preserve"> </w:t>
      </w:r>
    </w:p>
    <w:p w14:paraId="23FE4279" w14:textId="77777777" w:rsidR="00032C99" w:rsidRPr="001A1FD3" w:rsidRDefault="00032C99" w:rsidP="00E93551">
      <w:pPr>
        <w:pStyle w:val="Heading1"/>
        <w:rPr>
          <w:b/>
          <w:szCs w:val="24"/>
        </w:rPr>
      </w:pPr>
      <w:bookmarkStart w:id="104" w:name="_Toc462302848"/>
      <w:bookmarkStart w:id="105" w:name="_Toc481414281"/>
      <w:r w:rsidRPr="001A1FD3">
        <w:rPr>
          <w:b/>
          <w:szCs w:val="24"/>
        </w:rPr>
        <w:lastRenderedPageBreak/>
        <w:t>CONCLUSION</w:t>
      </w:r>
      <w:bookmarkEnd w:id="104"/>
      <w:bookmarkEnd w:id="105"/>
      <w:r w:rsidRPr="001A1FD3">
        <w:rPr>
          <w:b/>
          <w:szCs w:val="24"/>
        </w:rPr>
        <w:t xml:space="preserve"> </w:t>
      </w:r>
    </w:p>
    <w:p w14:paraId="6C48E6EC" w14:textId="77777777" w:rsidR="00032C99" w:rsidRPr="001A1FD3" w:rsidRDefault="00662555" w:rsidP="00B67698">
      <w:pPr>
        <w:spacing w:line="480" w:lineRule="auto"/>
      </w:pPr>
      <w:r w:rsidRPr="001A1FD3">
        <w:tab/>
      </w:r>
      <w:r w:rsidR="00B67698" w:rsidRPr="001A1FD3">
        <w:t xml:space="preserve">For the reasons set forth above, the United States respectfully submits that NLC’s motion should be denied in its entirety. </w:t>
      </w:r>
    </w:p>
    <w:p w14:paraId="43CFCE74" w14:textId="77777777" w:rsidR="00032C99" w:rsidRPr="001A1FD3" w:rsidRDefault="00032C99" w:rsidP="00032C99">
      <w:r w:rsidRPr="001A1FD3">
        <w:t>Dated:</w:t>
      </w:r>
      <w:r w:rsidRPr="001A1FD3">
        <w:tab/>
        <w:t>Newark, New Jersey</w:t>
      </w:r>
    </w:p>
    <w:p w14:paraId="16300ACA" w14:textId="77777777" w:rsidR="00032C99" w:rsidRPr="001A1FD3" w:rsidRDefault="00032C99" w:rsidP="00032C99">
      <w:r w:rsidRPr="001A1FD3">
        <w:tab/>
        <w:t xml:space="preserve">           </w:t>
      </w:r>
      <w:r w:rsidR="00662555" w:rsidRPr="001A1FD3">
        <w:t>May 1</w:t>
      </w:r>
      <w:r w:rsidR="00C37065" w:rsidRPr="001A1FD3">
        <w:t>, 2017</w:t>
      </w:r>
    </w:p>
    <w:p w14:paraId="4C1AA845" w14:textId="77777777" w:rsidR="00032C99" w:rsidRPr="001A1FD3" w:rsidRDefault="00032C99" w:rsidP="00032C99">
      <w:r w:rsidRPr="001A1FD3">
        <w:tab/>
      </w:r>
      <w:r w:rsidRPr="001A1FD3">
        <w:tab/>
      </w:r>
      <w:r w:rsidRPr="001A1FD3">
        <w:tab/>
      </w:r>
      <w:r w:rsidRPr="001A1FD3">
        <w:tab/>
      </w:r>
      <w:r w:rsidRPr="001A1FD3">
        <w:tab/>
      </w:r>
      <w:r w:rsidRPr="001A1FD3">
        <w:tab/>
      </w:r>
    </w:p>
    <w:p w14:paraId="35B64472" w14:textId="77777777" w:rsidR="00032C99" w:rsidRPr="001A1FD3" w:rsidRDefault="00032C99" w:rsidP="00032C99">
      <w:pPr>
        <w:ind w:left="2880" w:firstLine="720"/>
      </w:pPr>
      <w:r w:rsidRPr="001A1FD3">
        <w:t>Respectfully submitted,</w:t>
      </w:r>
    </w:p>
    <w:p w14:paraId="2C6C9A0A" w14:textId="77777777" w:rsidR="00C37065" w:rsidRPr="001A1FD3" w:rsidRDefault="00C37065" w:rsidP="00032C99">
      <w:pPr>
        <w:ind w:left="2880" w:firstLine="720"/>
      </w:pPr>
    </w:p>
    <w:p w14:paraId="5D5E3631" w14:textId="77777777" w:rsidR="00032C99" w:rsidRPr="001A1FD3" w:rsidRDefault="0004130A" w:rsidP="00032C99">
      <w:pPr>
        <w:ind w:left="2880" w:firstLine="720"/>
      </w:pPr>
      <w:r w:rsidRPr="001A1FD3">
        <w:t>WILLIAM E. FITZPATRICK</w:t>
      </w:r>
    </w:p>
    <w:p w14:paraId="0251D75D" w14:textId="77777777" w:rsidR="00032C99" w:rsidRPr="001A1FD3" w:rsidRDefault="0004130A" w:rsidP="00032C99">
      <w:pPr>
        <w:ind w:left="2880" w:firstLine="720"/>
      </w:pPr>
      <w:r w:rsidRPr="001A1FD3">
        <w:t xml:space="preserve">Acting </w:t>
      </w:r>
      <w:r w:rsidR="00032C99" w:rsidRPr="001A1FD3">
        <w:t>United States Attorney</w:t>
      </w:r>
    </w:p>
    <w:p w14:paraId="18BFAAEF" w14:textId="77777777" w:rsidR="00032C99" w:rsidRPr="001A1FD3" w:rsidRDefault="00032C99" w:rsidP="00032C99"/>
    <w:p w14:paraId="0C0D4362" w14:textId="77777777" w:rsidR="00032C99" w:rsidRPr="001A1FD3" w:rsidRDefault="00032C99" w:rsidP="00032C99">
      <w:pPr>
        <w:ind w:left="2160" w:firstLine="720"/>
        <w:rPr>
          <w:u w:val="single"/>
        </w:rPr>
      </w:pPr>
      <w:r w:rsidRPr="001A1FD3">
        <w:t>By:</w:t>
      </w:r>
      <w:r w:rsidRPr="001A1FD3">
        <w:tab/>
      </w:r>
      <w:r w:rsidRPr="001A1FD3">
        <w:rPr>
          <w:i/>
          <w:u w:val="single"/>
        </w:rPr>
        <w:t>s/</w:t>
      </w:r>
      <w:r w:rsidR="00662555" w:rsidRPr="001A1FD3">
        <w:rPr>
          <w:i/>
          <w:u w:val="single"/>
        </w:rPr>
        <w:t xml:space="preserve"> Jordan M. Anger</w:t>
      </w:r>
      <w:r w:rsidR="00C37065" w:rsidRPr="001A1FD3">
        <w:rPr>
          <w:u w:val="single"/>
        </w:rPr>
        <w:tab/>
      </w:r>
      <w:r w:rsidR="00C37065" w:rsidRPr="001A1FD3">
        <w:rPr>
          <w:u w:val="single"/>
        </w:rPr>
        <w:tab/>
      </w:r>
      <w:r w:rsidR="00C37065" w:rsidRPr="001A1FD3">
        <w:rPr>
          <w:u w:val="single"/>
        </w:rPr>
        <w:tab/>
      </w:r>
    </w:p>
    <w:p w14:paraId="73DEC5B0" w14:textId="77777777" w:rsidR="00662555" w:rsidRPr="001A1FD3" w:rsidRDefault="00032C99" w:rsidP="00032C99">
      <w:r w:rsidRPr="001A1FD3">
        <w:tab/>
      </w:r>
      <w:r w:rsidRPr="001A1FD3">
        <w:tab/>
      </w:r>
      <w:r w:rsidRPr="001A1FD3">
        <w:tab/>
      </w:r>
      <w:r w:rsidRPr="001A1FD3">
        <w:tab/>
      </w:r>
      <w:r w:rsidRPr="001A1FD3">
        <w:tab/>
      </w:r>
      <w:r w:rsidR="00662555" w:rsidRPr="001A1FD3">
        <w:t>JORDAN M. ANGER</w:t>
      </w:r>
    </w:p>
    <w:p w14:paraId="4452EEE4" w14:textId="77777777" w:rsidR="00032C99" w:rsidRPr="001A1FD3" w:rsidRDefault="00662555" w:rsidP="00032C99">
      <w:r w:rsidRPr="001A1FD3">
        <w:tab/>
      </w:r>
      <w:r w:rsidRPr="001A1FD3">
        <w:tab/>
      </w:r>
      <w:r w:rsidRPr="001A1FD3">
        <w:tab/>
      </w:r>
      <w:r w:rsidRPr="001A1FD3">
        <w:tab/>
      </w:r>
      <w:r w:rsidRPr="001A1FD3">
        <w:tab/>
        <w:t xml:space="preserve">DAVID V. SIMUNOVICH </w:t>
      </w:r>
      <w:r w:rsidR="00032C99" w:rsidRPr="001A1FD3">
        <w:t xml:space="preserve"> </w:t>
      </w:r>
    </w:p>
    <w:p w14:paraId="3CA387B5" w14:textId="77777777" w:rsidR="00032C99" w:rsidRPr="001A1FD3" w:rsidRDefault="00032C99" w:rsidP="00032C99">
      <w:pPr>
        <w:ind w:left="2880" w:firstLine="720"/>
      </w:pPr>
      <w:r w:rsidRPr="001A1FD3">
        <w:t>Assistant United States Attorney</w:t>
      </w:r>
      <w:r w:rsidR="00662555" w:rsidRPr="001A1FD3">
        <w:t>s</w:t>
      </w:r>
    </w:p>
    <w:p w14:paraId="6899ED4A" w14:textId="77777777" w:rsidR="00032C99" w:rsidRPr="001A1FD3" w:rsidRDefault="00032C99" w:rsidP="00032C99">
      <w:pPr>
        <w:ind w:left="2880" w:firstLine="720"/>
        <w:rPr>
          <w:i/>
        </w:rPr>
      </w:pPr>
      <w:r w:rsidRPr="001A1FD3">
        <w:rPr>
          <w:i/>
        </w:rPr>
        <w:t xml:space="preserve">Attorneys for </w:t>
      </w:r>
      <w:r w:rsidR="00662555" w:rsidRPr="001A1FD3">
        <w:rPr>
          <w:i/>
        </w:rPr>
        <w:t>the United States of America</w:t>
      </w:r>
    </w:p>
    <w:sectPr w:rsidR="00032C99" w:rsidRPr="001A1FD3" w:rsidSect="00DC78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6B507" w14:textId="77777777" w:rsidR="00890947" w:rsidRDefault="00890947" w:rsidP="00DC78D8">
      <w:r>
        <w:separator/>
      </w:r>
    </w:p>
  </w:endnote>
  <w:endnote w:type="continuationSeparator" w:id="0">
    <w:p w14:paraId="62AF0F3F" w14:textId="77777777" w:rsidR="00890947" w:rsidRDefault="00890947" w:rsidP="00DC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AE59" w14:textId="77777777" w:rsidR="006208CA" w:rsidRDefault="00620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545924"/>
      <w:docPartObj>
        <w:docPartGallery w:val="Page Numbers (Bottom of Page)"/>
        <w:docPartUnique/>
      </w:docPartObj>
    </w:sdtPr>
    <w:sdtEndPr>
      <w:rPr>
        <w:noProof/>
      </w:rPr>
    </w:sdtEndPr>
    <w:sdtContent>
      <w:p w14:paraId="2E69BBB9" w14:textId="566702A0" w:rsidR="00890947" w:rsidRDefault="00890947">
        <w:pPr>
          <w:pStyle w:val="Footer"/>
          <w:jc w:val="center"/>
        </w:pPr>
        <w:r>
          <w:fldChar w:fldCharType="begin"/>
        </w:r>
        <w:r>
          <w:instrText xml:space="preserve"> PAGE   \* MERGEFORMAT </w:instrText>
        </w:r>
        <w:r>
          <w:fldChar w:fldCharType="separate"/>
        </w:r>
        <w:r w:rsidR="006208CA">
          <w:rPr>
            <w:noProof/>
          </w:rPr>
          <w:t>15</w:t>
        </w:r>
        <w:r>
          <w:rPr>
            <w:noProof/>
          </w:rPr>
          <w:fldChar w:fldCharType="end"/>
        </w:r>
      </w:p>
    </w:sdtContent>
  </w:sdt>
  <w:p w14:paraId="29537443" w14:textId="77777777" w:rsidR="00890947" w:rsidRDefault="00890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3861" w14:textId="77777777" w:rsidR="006208CA" w:rsidRDefault="00620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436C4" w14:textId="77777777" w:rsidR="00890947" w:rsidRDefault="00890947" w:rsidP="00DC78D8">
      <w:r>
        <w:separator/>
      </w:r>
    </w:p>
  </w:footnote>
  <w:footnote w:type="continuationSeparator" w:id="0">
    <w:p w14:paraId="3AC3DF66" w14:textId="77777777" w:rsidR="00890947" w:rsidRDefault="00890947" w:rsidP="00DC78D8">
      <w:r>
        <w:continuationSeparator/>
      </w:r>
    </w:p>
  </w:footnote>
  <w:footnote w:id="1">
    <w:p w14:paraId="43728087" w14:textId="00FEC472" w:rsidR="00890947" w:rsidRPr="00AF561D" w:rsidRDefault="00890947" w:rsidP="002D1E2E">
      <w:pPr>
        <w:pStyle w:val="FootnoteText"/>
        <w:spacing w:after="120"/>
        <w:ind w:firstLine="0"/>
        <w:rPr>
          <w:sz w:val="24"/>
          <w:szCs w:val="24"/>
        </w:rPr>
      </w:pPr>
      <w:r w:rsidRPr="00AF561D">
        <w:rPr>
          <w:rStyle w:val="FootnoteReference"/>
          <w:sz w:val="24"/>
          <w:szCs w:val="24"/>
        </w:rPr>
        <w:footnoteRef/>
      </w:r>
      <w:r w:rsidRPr="00AF561D">
        <w:rPr>
          <w:sz w:val="24"/>
          <w:szCs w:val="24"/>
        </w:rPr>
        <w:t xml:space="preserve"> </w:t>
      </w:r>
      <w:r w:rsidRPr="00AF561D">
        <w:rPr>
          <w:sz w:val="24"/>
          <w:szCs w:val="24"/>
        </w:rPr>
        <w:tab/>
        <w:t xml:space="preserve">Although not relevant to any issue in NLC’s motion, NLC suggests that its discriminatory actions are justified by </w:t>
      </w:r>
      <w:bookmarkStart w:id="19" w:name="dabmci_1d98df8fc9e04b918345a26deedc683a"/>
      <w:r>
        <w:rPr>
          <w:sz w:val="24"/>
          <w:szCs w:val="24"/>
        </w:rPr>
        <w:fldChar w:fldCharType="begin"/>
      </w:r>
      <w:r w:rsidRPr="00BF041A">
        <w:instrText xml:space="preserve"> TA \l "</w:instrText>
      </w:r>
      <w:r w:rsidRPr="00BF041A">
        <w:rPr>
          <w:color w:val="000000"/>
        </w:rPr>
        <w:instrText>28 C.F.R. § 35.206</w:instrText>
      </w:r>
      <w:r w:rsidRPr="00BF041A">
        <w:instrText xml:space="preserve">" \s "dabmci_1d98df8fc9e04b918345a26deedc683a_1" \c 4 </w:instrText>
      </w:r>
      <w:r>
        <w:rPr>
          <w:sz w:val="24"/>
          <w:szCs w:val="24"/>
        </w:rPr>
        <w:fldChar w:fldCharType="end"/>
      </w:r>
      <w:r w:rsidRPr="00AF561D">
        <w:rPr>
          <w:sz w:val="24"/>
          <w:szCs w:val="24"/>
        </w:rPr>
        <w:t>28 C.F.R.</w:t>
      </w:r>
      <w:r>
        <w:rPr>
          <w:sz w:val="24"/>
          <w:szCs w:val="24"/>
        </w:rPr>
        <w:t xml:space="preserve"> §</w:t>
      </w:r>
      <w:r w:rsidRPr="00AF561D">
        <w:rPr>
          <w:sz w:val="24"/>
          <w:szCs w:val="24"/>
        </w:rPr>
        <w:t xml:space="preserve"> 35.206</w:t>
      </w:r>
      <w:bookmarkEnd w:id="19"/>
      <w:r w:rsidRPr="00AF561D">
        <w:rPr>
          <w:sz w:val="24"/>
          <w:szCs w:val="24"/>
        </w:rPr>
        <w:t xml:space="preserve">, which states that public accommodations need not provide “personal devices” such as eyeglasses or “personal services” such as assistance in eating, toileting, or dressing. NLC’s Memo. of Law in Support of Motion to Stay or, Alternatively, Motion for Partial Dismissal (“NLC Br.”), at 4 &amp; n.1. NLC is wrong. As explained in accompanying regulatory guidance, “if personal services are customarily provided to the customers or clients of a public accommodation, … then these personal services should also be provided to the persons with disabilities.” </w:t>
      </w:r>
      <w:bookmarkStart w:id="20" w:name="dabmci_29b5270ef67648c7a55b72f3b8befbb8"/>
      <w:r>
        <w:rPr>
          <w:sz w:val="24"/>
          <w:szCs w:val="24"/>
        </w:rPr>
        <w:fldChar w:fldCharType="begin"/>
      </w:r>
      <w:r w:rsidRPr="00BF041A">
        <w:instrText xml:space="preserve"> TA \l "</w:instrText>
      </w:r>
      <w:r w:rsidRPr="00BF041A">
        <w:rPr>
          <w:color w:val="000000"/>
        </w:rPr>
        <w:instrText>28 C.F.R. Pt. 36</w:instrText>
      </w:r>
      <w:r w:rsidRPr="00BF041A">
        <w:instrText xml:space="preserve">" \s "dabmci_29b5270ef67648c7a55b72f3b8befbb8_1" \c 4 </w:instrText>
      </w:r>
      <w:r>
        <w:rPr>
          <w:sz w:val="24"/>
          <w:szCs w:val="24"/>
        </w:rPr>
        <w:fldChar w:fldCharType="end"/>
      </w:r>
      <w:r w:rsidRPr="00AF561D">
        <w:rPr>
          <w:sz w:val="24"/>
          <w:szCs w:val="24"/>
        </w:rPr>
        <w:t>28 C.F.R. Pt. 36</w:t>
      </w:r>
      <w:bookmarkEnd w:id="20"/>
      <w:r w:rsidRPr="00AF561D">
        <w:rPr>
          <w:sz w:val="24"/>
          <w:szCs w:val="24"/>
        </w:rPr>
        <w:t xml:space="preserve">, App. C at 925 (2015). Because NLC customarily and routinely provides personal services, including diapering, to three-year-old children in its care, NLC must accommodate M.M.’s disability-based need even if she is beyond NLC’s arbitrary age cut-off for these services. </w:t>
      </w:r>
    </w:p>
  </w:footnote>
  <w:footnote w:id="2">
    <w:p w14:paraId="1AB98E24" w14:textId="6A8D0C7E" w:rsidR="00890947" w:rsidRPr="00AF561D" w:rsidRDefault="00890947" w:rsidP="002D1E2E">
      <w:pPr>
        <w:spacing w:after="120"/>
      </w:pPr>
      <w:r w:rsidRPr="00AF561D">
        <w:rPr>
          <w:rStyle w:val="FootnoteReference"/>
        </w:rPr>
        <w:footnoteRef/>
      </w:r>
      <w:r w:rsidRPr="00AF561D">
        <w:t xml:space="preserve"> </w:t>
      </w:r>
      <w:r w:rsidRPr="00AF561D">
        <w:tab/>
        <w:t xml:space="preserve">NLC states that the United States brought this action “on behalf of M.M. and [her] parents.” NLC Br. at 1, 10, 11. Not so. After determining that the NLC’s discriminatory conduct “raises an issue of general public importance,” the Attorney General filed this action on behalf of the </w:t>
      </w:r>
      <w:bookmarkStart w:id="21" w:name="dabmci_3eb2421b915e476983f7c716f9ff0814"/>
      <w:r>
        <w:fldChar w:fldCharType="begin"/>
      </w:r>
      <w:r w:rsidRPr="00BF041A">
        <w:instrText xml:space="preserve"> TA \l "</w:instrText>
      </w:r>
      <w:r w:rsidRPr="00BF041A">
        <w:rPr>
          <w:color w:val="000000"/>
        </w:rPr>
        <w:instrText>United States. 42</w:instrText>
      </w:r>
      <w:r w:rsidRPr="00BF041A">
        <w:instrText xml:space="preserve">" \s "dabmci_3eb2421b915e476983f7c716f9ff0814_1" \c 5 </w:instrText>
      </w:r>
      <w:r>
        <w:fldChar w:fldCharType="end"/>
      </w:r>
      <w:r w:rsidRPr="00AF561D">
        <w:t>United States. 42</w:t>
      </w:r>
      <w:bookmarkEnd w:id="21"/>
      <w:r w:rsidRPr="00AF561D">
        <w:t xml:space="preserve"> </w:t>
      </w:r>
      <w:bookmarkStart w:id="22" w:name="dabmci_e7aa4b760649419589be1b9a746e8ccf"/>
      <w:r>
        <w:fldChar w:fldCharType="begin"/>
      </w:r>
      <w:r w:rsidRPr="00BF041A">
        <w:instrText xml:space="preserve"> TA \l "</w:instrText>
      </w:r>
      <w:r w:rsidRPr="00BF041A">
        <w:rPr>
          <w:color w:val="000000"/>
        </w:rPr>
        <w:instrText>U.S.C. § 12188(b)(1)(B)</w:instrText>
      </w:r>
      <w:r w:rsidRPr="00BF041A">
        <w:instrText xml:space="preserve">" \s "dabmci_e7aa4b760649419589be1b9a746e8ccf_1" \c 2 </w:instrText>
      </w:r>
      <w:r>
        <w:fldChar w:fldCharType="end"/>
      </w:r>
      <w:r w:rsidRPr="00AF561D">
        <w:t>U.S.C. § 12188(b)(1)(B)</w:t>
      </w:r>
      <w:bookmarkEnd w:id="22"/>
      <w:r w:rsidRPr="00AF561D">
        <w:t xml:space="preserve">. </w:t>
      </w:r>
    </w:p>
    <w:p w14:paraId="5B8EBF69" w14:textId="77777777" w:rsidR="00890947" w:rsidRPr="00AF561D" w:rsidRDefault="00890947" w:rsidP="002D1E2E">
      <w:pPr>
        <w:spacing w:after="120"/>
      </w:pPr>
    </w:p>
  </w:footnote>
  <w:footnote w:id="3">
    <w:p w14:paraId="7D8F81C3" w14:textId="3DDDC54A" w:rsidR="00890947" w:rsidRPr="00AF561D" w:rsidRDefault="00890947" w:rsidP="002D1E2E">
      <w:pPr>
        <w:pStyle w:val="FootnoteText"/>
        <w:spacing w:after="120"/>
        <w:ind w:firstLine="0"/>
        <w:rPr>
          <w:sz w:val="24"/>
          <w:szCs w:val="24"/>
        </w:rPr>
      </w:pPr>
      <w:r w:rsidRPr="00AF561D">
        <w:rPr>
          <w:rStyle w:val="FootnoteReference"/>
          <w:sz w:val="24"/>
          <w:szCs w:val="24"/>
        </w:rPr>
        <w:footnoteRef/>
      </w:r>
      <w:r w:rsidRPr="00AF561D">
        <w:rPr>
          <w:sz w:val="24"/>
          <w:szCs w:val="24"/>
        </w:rPr>
        <w:t xml:space="preserve"> </w:t>
      </w:r>
      <w:r w:rsidRPr="00AF561D">
        <w:rPr>
          <w:sz w:val="24"/>
          <w:szCs w:val="24"/>
        </w:rPr>
        <w:tab/>
        <w:t xml:space="preserve">Similarly, NLC argues that the separate actions are only “nominally brought by different parties.” NLC Br. at 12. But the legal difference between the United States of America and State of New Jersey is at the very core of our nation’s constitutional make-up. There is nothing merely “nominal[]” in the difference between the United States and the State of New Jersey. </w:t>
      </w:r>
    </w:p>
  </w:footnote>
  <w:footnote w:id="4">
    <w:p w14:paraId="11448FD0" w14:textId="4568D632" w:rsidR="00890947" w:rsidRPr="00AF561D" w:rsidRDefault="00890947" w:rsidP="002D1E2E">
      <w:pPr>
        <w:pStyle w:val="FootnoteText"/>
        <w:spacing w:after="120"/>
        <w:ind w:firstLine="0"/>
        <w:rPr>
          <w:sz w:val="24"/>
          <w:szCs w:val="24"/>
        </w:rPr>
      </w:pPr>
      <w:r w:rsidRPr="00AF561D">
        <w:rPr>
          <w:rStyle w:val="FootnoteReference"/>
          <w:sz w:val="24"/>
          <w:szCs w:val="24"/>
        </w:rPr>
        <w:footnoteRef/>
      </w:r>
      <w:r w:rsidRPr="00AF561D">
        <w:rPr>
          <w:sz w:val="24"/>
          <w:szCs w:val="24"/>
        </w:rPr>
        <w:t xml:space="preserve"> </w:t>
      </w:r>
      <w:r w:rsidRPr="00AF561D">
        <w:rPr>
          <w:sz w:val="24"/>
          <w:szCs w:val="24"/>
        </w:rPr>
        <w:tab/>
        <w:t xml:space="preserve">For example, it would be relevant to the United States’ claims in this action if NLC allowed non-disabled 3-year-old children with toileting delays to remain in the “Beginner” program, or if NLC gave non-disabled children in the “Intermediate” program more time to become toilet-trained. </w:t>
      </w:r>
    </w:p>
  </w:footnote>
  <w:footnote w:id="5">
    <w:p w14:paraId="3FD3B669" w14:textId="2F435195" w:rsidR="00890947" w:rsidRPr="00AF561D" w:rsidRDefault="00890947" w:rsidP="002D1E2E">
      <w:pPr>
        <w:pStyle w:val="FootnoteText"/>
        <w:spacing w:after="120"/>
        <w:ind w:firstLine="0"/>
        <w:rPr>
          <w:sz w:val="24"/>
          <w:szCs w:val="24"/>
        </w:rPr>
      </w:pPr>
      <w:r w:rsidRPr="00AF561D">
        <w:rPr>
          <w:rStyle w:val="FootnoteReference"/>
          <w:sz w:val="24"/>
          <w:szCs w:val="24"/>
        </w:rPr>
        <w:footnoteRef/>
      </w:r>
      <w:r w:rsidRPr="00AF561D">
        <w:rPr>
          <w:sz w:val="24"/>
          <w:szCs w:val="24"/>
        </w:rPr>
        <w:t xml:space="preserve"> </w:t>
      </w:r>
      <w:r w:rsidRPr="00AF561D">
        <w:rPr>
          <w:sz w:val="24"/>
          <w:szCs w:val="24"/>
        </w:rPr>
        <w:tab/>
        <w:t xml:space="preserve"> Divining the parties’ intent in entering into a settlement agreement can be complex. As explained in </w:t>
      </w:r>
      <w:r w:rsidRPr="00AF561D">
        <w:rPr>
          <w:i/>
          <w:sz w:val="24"/>
          <w:szCs w:val="24"/>
        </w:rPr>
        <w:t>Wisconsin Electric Power Co.</w:t>
      </w:r>
      <w:r w:rsidRPr="00AF561D">
        <w:rPr>
          <w:sz w:val="24"/>
          <w:szCs w:val="24"/>
        </w:rPr>
        <w:t xml:space="preserve">, after an interlocutory ruling, the losing party may settle “to preserve its right to argue for a different ruling ... in future cases. Alternatively, [the losing party] may have negotiated away the potential for reversal on appeal or in a subsequent action, paying less and agreeing to be bound by the decision for all future claims.” 2007 U.S. Dist. LEXIS 93933, at *6-7; </w:t>
      </w:r>
      <w:r w:rsidRPr="00AF561D">
        <w:rPr>
          <w:i/>
          <w:sz w:val="24"/>
          <w:szCs w:val="24"/>
        </w:rPr>
        <w:t>Ecotone Farm, LLC v. Ward</w:t>
      </w:r>
      <w:r w:rsidRPr="00AF561D">
        <w:rPr>
          <w:sz w:val="24"/>
          <w:szCs w:val="24"/>
        </w:rPr>
        <w:t xml:space="preserve">, No. 11-CV-5094 (KM), 2014 U.S. Dist. LEXIS 101046, at *13-14 (D.N.J. July 22, 2014), </w:t>
      </w:r>
      <w:r w:rsidRPr="00AF561D">
        <w:rPr>
          <w:i/>
          <w:sz w:val="24"/>
          <w:szCs w:val="24"/>
        </w:rPr>
        <w:t>aff’d in part, rev’d in part</w:t>
      </w:r>
      <w:r w:rsidRPr="00AF561D">
        <w:rPr>
          <w:sz w:val="24"/>
          <w:szCs w:val="24"/>
        </w:rPr>
        <w:t>,</w:t>
      </w:r>
      <w:r w:rsidRPr="00AF561D">
        <w:rPr>
          <w:i/>
          <w:sz w:val="24"/>
          <w:szCs w:val="24"/>
        </w:rPr>
        <w:t xml:space="preserve"> </w:t>
      </w:r>
      <w:bookmarkStart w:id="58" w:name="dabmci_a94d16d5c396406585376574ca0ae383"/>
      <w:r>
        <w:rPr>
          <w:i/>
          <w:sz w:val="24"/>
          <w:szCs w:val="24"/>
        </w:rPr>
        <w:fldChar w:fldCharType="begin"/>
      </w:r>
      <w:r w:rsidRPr="00BF041A">
        <w:instrText xml:space="preserve"> TA \l "</w:instrText>
      </w:r>
      <w:r w:rsidRPr="00BF041A">
        <w:rPr>
          <w:color w:val="000000"/>
        </w:rPr>
        <w:instrText>639 F. App’x 118 (3d Cir. 2016)</w:instrText>
      </w:r>
      <w:r w:rsidRPr="00BF041A">
        <w:instrText xml:space="preserve">" \s "dabmci_a94d16d5c396406585376574ca0ae383_1" \c 1 </w:instrText>
      </w:r>
      <w:r>
        <w:rPr>
          <w:i/>
          <w:sz w:val="24"/>
          <w:szCs w:val="24"/>
        </w:rPr>
        <w:fldChar w:fldCharType="end"/>
      </w:r>
      <w:r w:rsidRPr="00AF561D">
        <w:rPr>
          <w:sz w:val="24"/>
          <w:szCs w:val="24"/>
        </w:rPr>
        <w:t>639 F. App’x 118 (3d Cir. 2016)</w:t>
      </w:r>
      <w:bookmarkEnd w:id="58"/>
      <w:r w:rsidRPr="00AF561D">
        <w:rPr>
          <w:i/>
          <w:sz w:val="24"/>
          <w:szCs w:val="24"/>
        </w:rPr>
        <w:t xml:space="preserve"> </w:t>
      </w:r>
      <w:r w:rsidRPr="00AF561D">
        <w:rPr>
          <w:sz w:val="24"/>
          <w:szCs w:val="24"/>
        </w:rPr>
        <w:t>(holding that parties’ intent in settling a case raised factual questions not properly resolved on a motion to dismiss).</w:t>
      </w:r>
    </w:p>
  </w:footnote>
  <w:footnote w:id="6">
    <w:p w14:paraId="04293CBB" w14:textId="67421172" w:rsidR="00890947" w:rsidRPr="00AF561D" w:rsidRDefault="00890947" w:rsidP="002D1E2E">
      <w:pPr>
        <w:pStyle w:val="FootnoteText"/>
        <w:spacing w:after="120"/>
        <w:ind w:firstLine="0"/>
        <w:rPr>
          <w:sz w:val="24"/>
          <w:szCs w:val="24"/>
        </w:rPr>
      </w:pPr>
      <w:r w:rsidRPr="00AF561D">
        <w:rPr>
          <w:rStyle w:val="FootnoteReference"/>
          <w:sz w:val="24"/>
          <w:szCs w:val="24"/>
        </w:rPr>
        <w:footnoteRef/>
      </w:r>
      <w:r w:rsidRPr="00AF561D">
        <w:rPr>
          <w:sz w:val="24"/>
          <w:szCs w:val="24"/>
        </w:rPr>
        <w:t xml:space="preserve"> </w:t>
      </w:r>
      <w:r w:rsidRPr="00AF561D">
        <w:rPr>
          <w:sz w:val="24"/>
          <w:szCs w:val="24"/>
        </w:rPr>
        <w:tab/>
        <w:t xml:space="preserve">In </w:t>
      </w:r>
      <w:r w:rsidRPr="00AF561D">
        <w:rPr>
          <w:i/>
          <w:sz w:val="24"/>
          <w:szCs w:val="24"/>
        </w:rPr>
        <w:t>Burlington</w:t>
      </w:r>
      <w:r w:rsidRPr="00AF561D">
        <w:rPr>
          <w:sz w:val="24"/>
          <w:szCs w:val="24"/>
        </w:rPr>
        <w:t xml:space="preserve">, a panel of the Third Circuit explained in a footnote that collateral estoppel could apply based on an underlying interlocutory summary judgment decision. </w:t>
      </w:r>
      <w:bookmarkStart w:id="60" w:name="dabmci_2e83d2b8eaf845d8a5d26a6fa9cad789"/>
      <w:r>
        <w:rPr>
          <w:sz w:val="24"/>
          <w:szCs w:val="24"/>
        </w:rPr>
        <w:fldChar w:fldCharType="begin"/>
      </w:r>
      <w:r w:rsidRPr="00BF041A">
        <w:instrText xml:space="preserve"> TA \l "</w:instrText>
      </w:r>
      <w:r w:rsidRPr="00BF041A">
        <w:rPr>
          <w:color w:val="000000"/>
        </w:rPr>
        <w:instrText>63 F.3d n.8</w:instrText>
      </w:r>
      <w:r w:rsidRPr="00BF041A">
        <w:instrText xml:space="preserve">" \s "dabmci_2e83d2b8eaf845d8a5d26a6fa9cad789_4" \c 1 </w:instrText>
      </w:r>
      <w:r>
        <w:rPr>
          <w:sz w:val="24"/>
          <w:szCs w:val="24"/>
        </w:rPr>
        <w:fldChar w:fldCharType="end"/>
      </w:r>
      <w:r w:rsidRPr="00AF561D">
        <w:rPr>
          <w:sz w:val="24"/>
          <w:szCs w:val="24"/>
        </w:rPr>
        <w:t>63 F.3d at 1233 n.8</w:t>
      </w:r>
      <w:bookmarkEnd w:id="60"/>
      <w:r w:rsidRPr="00AF561D">
        <w:rPr>
          <w:sz w:val="24"/>
          <w:szCs w:val="24"/>
        </w:rPr>
        <w:t xml:space="preserve">. But that part of the holding is of little relevance here because the panel did not discuss how the underlying action was resolved (i.e., by settlement or by final adjudication of the merits). If it was by settlement, the terms of that agreement were not discussed. And the Supreme Court’s subsequent decision in </w:t>
      </w:r>
      <w:r w:rsidRPr="00AF561D">
        <w:rPr>
          <w:i/>
          <w:sz w:val="24"/>
          <w:szCs w:val="24"/>
        </w:rPr>
        <w:t>Arizona v. California</w:t>
      </w:r>
      <w:r w:rsidRPr="00AF561D">
        <w:rPr>
          <w:sz w:val="24"/>
          <w:szCs w:val="24"/>
        </w:rPr>
        <w:t xml:space="preserve"> teaches that, when analyzing the collateral estoppel consequences of a prior litigation that has been resolved by the parties’ settlement agreement, courts must look to whether “i</w:t>
      </w:r>
      <w:r w:rsidRPr="00AF561D">
        <w:rPr>
          <w:rFonts w:cs="Helvetica"/>
          <w:sz w:val="24"/>
          <w:szCs w:val="24"/>
        </w:rPr>
        <w:t xml:space="preserve">t is clear … that the parties intend their agreement to have such an effect.” </w:t>
      </w:r>
      <w:bookmarkStart w:id="61" w:name="dabmci_1416696c2a77405a9529fe5d4c840f93"/>
      <w:r>
        <w:rPr>
          <w:rFonts w:cs="Helvetica"/>
          <w:sz w:val="24"/>
          <w:szCs w:val="24"/>
        </w:rPr>
        <w:fldChar w:fldCharType="begin"/>
      </w:r>
      <w:r w:rsidRPr="00BF041A">
        <w:instrText xml:space="preserve"> TA \l "</w:instrText>
      </w:r>
      <w:r w:rsidRPr="00BF041A">
        <w:rPr>
          <w:i/>
          <w:color w:val="000000"/>
        </w:rPr>
        <w:instrText>Arizona v. California</w:instrText>
      </w:r>
      <w:r w:rsidRPr="00BF041A">
        <w:rPr>
          <w:color w:val="000000"/>
        </w:rPr>
        <w:instrText>,</w:instrText>
      </w:r>
      <w:r w:rsidRPr="00BF041A">
        <w:rPr>
          <w:color w:val="000000"/>
        </w:rPr>
        <w:br/>
        <w:instrText>530 U.S. 392 (2000)</w:instrText>
      </w:r>
      <w:r w:rsidRPr="00BF041A">
        <w:instrText xml:space="preserve">" \s "dabmci_c9829545fe4847ec8d58f8a7b842c6a2_3" \c 1 </w:instrText>
      </w:r>
      <w:r>
        <w:rPr>
          <w:rFonts w:cs="Helvetica"/>
          <w:sz w:val="24"/>
          <w:szCs w:val="24"/>
        </w:rPr>
        <w:fldChar w:fldCharType="end"/>
      </w:r>
      <w:r w:rsidRPr="00AF561D">
        <w:rPr>
          <w:sz w:val="24"/>
          <w:szCs w:val="24"/>
        </w:rPr>
        <w:t>530 U.S. at 414</w:t>
      </w:r>
      <w:bookmarkEnd w:id="61"/>
      <w:r w:rsidRPr="00AF561D">
        <w:rPr>
          <w:sz w:val="24"/>
          <w:szCs w:val="24"/>
        </w:rPr>
        <w:t>.</w:t>
      </w:r>
    </w:p>
  </w:footnote>
  <w:footnote w:id="7">
    <w:p w14:paraId="33148A05" w14:textId="42A89DC6" w:rsidR="00890947" w:rsidRPr="00AF561D" w:rsidRDefault="00890947" w:rsidP="002D1E2E">
      <w:pPr>
        <w:pStyle w:val="FootnoteText"/>
        <w:spacing w:after="120"/>
        <w:ind w:firstLine="0"/>
        <w:rPr>
          <w:sz w:val="24"/>
          <w:szCs w:val="24"/>
        </w:rPr>
      </w:pPr>
      <w:r w:rsidRPr="00AF561D">
        <w:rPr>
          <w:rStyle w:val="FootnoteReference"/>
          <w:sz w:val="24"/>
          <w:szCs w:val="24"/>
        </w:rPr>
        <w:footnoteRef/>
      </w:r>
      <w:r w:rsidRPr="00AF561D">
        <w:rPr>
          <w:sz w:val="24"/>
          <w:szCs w:val="24"/>
        </w:rPr>
        <w:t xml:space="preserve"> </w:t>
      </w:r>
      <w:r w:rsidRPr="00AF561D">
        <w:rPr>
          <w:sz w:val="24"/>
          <w:szCs w:val="24"/>
        </w:rPr>
        <w:tab/>
        <w:t xml:space="preserve">Aside from preventing the United States from vindicating the public interest, accepting NLC’s collateral estoppel argument would frustrate the public policy of encouraging parties to resolve their disputes by settlement agreement. Litigants who receive a partially adverse interlocutory ruling will be less likely to settle the case for fear of being barred from ever revisiting that issue. </w:t>
      </w:r>
      <w:r w:rsidRPr="00AF561D">
        <w:rPr>
          <w:i/>
          <w:sz w:val="24"/>
          <w:szCs w:val="24"/>
        </w:rPr>
        <w:t xml:space="preserve">See </w:t>
      </w:r>
      <w:bookmarkStart w:id="64" w:name="dabmci_270f9610473e4ef2afad6ff1211c88f9"/>
      <w:r>
        <w:rPr>
          <w:i/>
          <w:sz w:val="24"/>
          <w:szCs w:val="24"/>
        </w:rPr>
        <w:fldChar w:fldCharType="begin"/>
      </w:r>
      <w:r w:rsidRPr="00BF041A">
        <w:instrText xml:space="preserve"> TA \l "</w:instrText>
      </w:r>
      <w:r w:rsidRPr="00BF041A">
        <w:rPr>
          <w:i/>
          <w:color w:val="000000"/>
        </w:rPr>
        <w:instrText>Comair Rotron, Inc. v. Nippon Densan Corp.</w:instrText>
      </w:r>
      <w:r w:rsidRPr="00BF041A">
        <w:rPr>
          <w:color w:val="000000"/>
        </w:rPr>
        <w:instrText>,</w:instrText>
      </w:r>
      <w:r w:rsidRPr="00BF041A">
        <w:rPr>
          <w:color w:val="000000"/>
        </w:rPr>
        <w:br/>
        <w:instrText>49 F.3d 1535 (Fed. Cir. 1995)</w:instrText>
      </w:r>
      <w:r w:rsidRPr="00BF041A">
        <w:instrText xml:space="preserve">" \s "dabmci_270f9610473e4ef2afad6ff1211c88f9_1" \c 1 </w:instrText>
      </w:r>
      <w:r>
        <w:rPr>
          <w:i/>
          <w:sz w:val="24"/>
          <w:szCs w:val="24"/>
        </w:rPr>
        <w:fldChar w:fldCharType="end"/>
      </w:r>
      <w:r w:rsidRPr="00AF561D">
        <w:rPr>
          <w:i/>
          <w:sz w:val="24"/>
          <w:szCs w:val="24"/>
        </w:rPr>
        <w:t>Comair Rotron, Inc. v. Nippon Densan Corp.</w:t>
      </w:r>
      <w:r w:rsidRPr="00AF561D">
        <w:rPr>
          <w:sz w:val="24"/>
          <w:szCs w:val="24"/>
        </w:rPr>
        <w:t>, 49 F.3d 1535, 1538 (Fed. Cir. 1995)</w:t>
      </w:r>
      <w:bookmarkEnd w:id="64"/>
      <w:r w:rsidRPr="00AF561D">
        <w:rPr>
          <w:sz w:val="24"/>
          <w:szCs w:val="24"/>
        </w:rPr>
        <w:t>.</w:t>
      </w:r>
    </w:p>
  </w:footnote>
  <w:footnote w:id="8">
    <w:p w14:paraId="3BDDF6E9" w14:textId="4A3EB10B" w:rsidR="00890947" w:rsidRPr="00AF561D" w:rsidRDefault="00890947" w:rsidP="002D1E2E">
      <w:pPr>
        <w:pStyle w:val="FootnoteText"/>
        <w:spacing w:after="120"/>
        <w:ind w:firstLine="0"/>
        <w:rPr>
          <w:sz w:val="24"/>
          <w:szCs w:val="24"/>
        </w:rPr>
      </w:pPr>
      <w:r w:rsidRPr="00AF561D">
        <w:rPr>
          <w:rStyle w:val="FootnoteReference"/>
          <w:sz w:val="24"/>
          <w:szCs w:val="24"/>
        </w:rPr>
        <w:footnoteRef/>
      </w:r>
      <w:r w:rsidRPr="00AF561D">
        <w:rPr>
          <w:sz w:val="24"/>
          <w:szCs w:val="24"/>
        </w:rPr>
        <w:t xml:space="preserve"> </w:t>
      </w:r>
      <w:r w:rsidRPr="00AF561D">
        <w:rPr>
          <w:sz w:val="24"/>
          <w:szCs w:val="24"/>
        </w:rPr>
        <w:tab/>
        <w:t xml:space="preserve">Because the District Court did not “direct entry of a final judgment” on the associational discrimination claim, that Court remained free to revise that decision “at any time.” </w:t>
      </w:r>
      <w:bookmarkStart w:id="72" w:name="dabmci_e89d789de12e4450ae95d0efa83c894f"/>
      <w:r>
        <w:rPr>
          <w:sz w:val="24"/>
          <w:szCs w:val="24"/>
        </w:rPr>
        <w:fldChar w:fldCharType="begin"/>
      </w:r>
      <w:r w:rsidRPr="00BF041A">
        <w:instrText xml:space="preserve"> TA \l "</w:instrText>
      </w:r>
      <w:r w:rsidRPr="00BF041A">
        <w:rPr>
          <w:color w:val="000000"/>
        </w:rPr>
        <w:instrText>Fed. R. Civ. P. 54(b)</w:instrText>
      </w:r>
      <w:r w:rsidRPr="00BF041A">
        <w:instrText xml:space="preserve">" \s "dabmci_e89d789de12e4450ae95d0efa83c894f_1" \c 3 </w:instrText>
      </w:r>
      <w:r>
        <w:rPr>
          <w:sz w:val="24"/>
          <w:szCs w:val="24"/>
        </w:rPr>
        <w:fldChar w:fldCharType="end"/>
      </w:r>
      <w:r w:rsidRPr="00AF561D">
        <w:rPr>
          <w:sz w:val="24"/>
          <w:szCs w:val="24"/>
        </w:rPr>
        <w:t>Fed. R. Civ. P. 54(b)</w:t>
      </w:r>
      <w:bookmarkEnd w:id="72"/>
      <w:r w:rsidRPr="00AF561D">
        <w:rPr>
          <w:sz w:val="24"/>
          <w:szCs w:val="24"/>
        </w:rPr>
        <w:t>.</w:t>
      </w:r>
    </w:p>
  </w:footnote>
  <w:footnote w:id="9">
    <w:p w14:paraId="37B32BC3" w14:textId="32A92F7B" w:rsidR="00890947" w:rsidRPr="00AF561D" w:rsidRDefault="00890947" w:rsidP="002D1E2E">
      <w:pPr>
        <w:spacing w:after="120"/>
        <w:rPr>
          <w:rFonts w:cs="CourierNew"/>
        </w:rPr>
      </w:pPr>
      <w:r w:rsidRPr="00AF561D">
        <w:rPr>
          <w:rStyle w:val="FootnoteReference"/>
        </w:rPr>
        <w:footnoteRef/>
      </w:r>
      <w:r w:rsidRPr="00AF561D">
        <w:t xml:space="preserve"> </w:t>
      </w:r>
      <w:r w:rsidRPr="00AF561D">
        <w:tab/>
        <w:t xml:space="preserve">In reaching its decision, the District Court in </w:t>
      </w:r>
      <w:r w:rsidRPr="00AF561D">
        <w:rPr>
          <w:i/>
        </w:rPr>
        <w:t>NLC I</w:t>
      </w:r>
      <w:r w:rsidRPr="00AF561D">
        <w:t xml:space="preserve"> relied on a Third Circuit case and DOJ commentary on a DOJ regulation</w:t>
      </w:r>
      <w:r w:rsidRPr="00AF561D">
        <w:rPr>
          <w:rFonts w:cs="CourierNew"/>
        </w:rPr>
        <w:t xml:space="preserve">. </w:t>
      </w:r>
      <w:bookmarkStart w:id="83" w:name="dabmci_5ab1ac71a1eb46a3b85d8c42a338a480"/>
      <w:r>
        <w:rPr>
          <w:rFonts w:cs="CourierNew"/>
        </w:rPr>
        <w:fldChar w:fldCharType="begin"/>
      </w:r>
      <w:r w:rsidRPr="00BF041A">
        <w:instrText xml:space="preserve"> TA \l "</w:instrText>
      </w:r>
      <w:r w:rsidRPr="00BF041A">
        <w:rPr>
          <w:i/>
          <w:color w:val="000000"/>
        </w:rPr>
        <w:instrText>United States v. Nobel Learning Cmtys., Inc.</w:instrText>
      </w:r>
      <w:r w:rsidRPr="00BF041A">
        <w:rPr>
          <w:color w:val="000000"/>
        </w:rPr>
        <w:instrText>,</w:instrText>
      </w:r>
      <w:r w:rsidRPr="00BF041A">
        <w:rPr>
          <w:color w:val="000000"/>
        </w:rPr>
        <w:br/>
        <w:instrText>676 F. Supp. 2d 379 (E.D. Pa. 2009)</w:instrText>
      </w:r>
      <w:r w:rsidRPr="00BF041A">
        <w:instrText xml:space="preserve">" \s "dabmci_38c907d2434e41d19c75039a34350f99_4" \c 1 </w:instrText>
      </w:r>
      <w:r>
        <w:rPr>
          <w:rFonts w:cs="CourierNew"/>
        </w:rPr>
        <w:fldChar w:fldCharType="end"/>
      </w:r>
      <w:r w:rsidRPr="00AF561D">
        <w:rPr>
          <w:rFonts w:cs="CourierNew"/>
          <w:i/>
        </w:rPr>
        <w:t>NLC I</w:t>
      </w:r>
      <w:r w:rsidRPr="00AF561D">
        <w:rPr>
          <w:rFonts w:cs="CourierNew"/>
        </w:rPr>
        <w:t xml:space="preserve">, </w:t>
      </w:r>
      <w:r w:rsidRPr="00AF561D">
        <w:t>676 F. Supp. 2d at</w:t>
      </w:r>
      <w:r w:rsidRPr="00AF561D">
        <w:rPr>
          <w:rFonts w:cs="CourierNew"/>
          <w:i/>
        </w:rPr>
        <w:t xml:space="preserve"> </w:t>
      </w:r>
      <w:r w:rsidRPr="00AF561D">
        <w:rPr>
          <w:rFonts w:cs="CourierNew"/>
        </w:rPr>
        <w:t>386-88</w:t>
      </w:r>
      <w:bookmarkEnd w:id="83"/>
      <w:r w:rsidRPr="00AF561D">
        <w:rPr>
          <w:rFonts w:cs="CourierNew"/>
        </w:rPr>
        <w:t>. Neither the case (</w:t>
      </w:r>
      <w:bookmarkStart w:id="84" w:name="dabmci_9e704f13e630476ea95aaa5901f58084"/>
      <w:r>
        <w:rPr>
          <w:rFonts w:cs="CourierNew"/>
        </w:rPr>
        <w:fldChar w:fldCharType="begin"/>
      </w:r>
      <w:r w:rsidRPr="00BF041A">
        <w:instrText xml:space="preserve"> TA \l "</w:instrText>
      </w:r>
      <w:r w:rsidRPr="00BF041A">
        <w:rPr>
          <w:i/>
          <w:color w:val="000000"/>
        </w:rPr>
        <w:instrText>Doe v. Cnty. of Centre</w:instrText>
      </w:r>
      <w:r w:rsidRPr="00BF041A">
        <w:rPr>
          <w:color w:val="000000"/>
        </w:rPr>
        <w:instrText>,</w:instrText>
      </w:r>
      <w:r w:rsidRPr="00BF041A">
        <w:rPr>
          <w:color w:val="000000"/>
        </w:rPr>
        <w:br/>
        <w:instrText>242 F.3d 437 (3d Cir. 2001)</w:instrText>
      </w:r>
      <w:r w:rsidRPr="00BF041A">
        <w:instrText xml:space="preserve">" \s "dabmci_9e704f13e630476ea95aaa5901f58084_1" \c 1 </w:instrText>
      </w:r>
      <w:r>
        <w:rPr>
          <w:rFonts w:cs="CourierNew"/>
        </w:rPr>
        <w:fldChar w:fldCharType="end"/>
      </w:r>
      <w:r w:rsidRPr="00AF561D">
        <w:rPr>
          <w:rFonts w:cs="CourierNew"/>
          <w:i/>
        </w:rPr>
        <w:t>Doe v. Cnty. of Centre</w:t>
      </w:r>
      <w:r w:rsidRPr="00AF561D">
        <w:rPr>
          <w:rFonts w:cs="CourierNew"/>
        </w:rPr>
        <w:t>, 242 F.3d 437 (3d Cir. 2001)</w:t>
      </w:r>
      <w:bookmarkEnd w:id="84"/>
      <w:r w:rsidRPr="00AF561D">
        <w:rPr>
          <w:rFonts w:cs="CourierNew"/>
        </w:rPr>
        <w:t>) nor the regulation (</w:t>
      </w:r>
      <w:bookmarkStart w:id="85" w:name="dabmci_a76ba6b39b7c4698ad17add7fa5575b1"/>
      <w:r>
        <w:rPr>
          <w:rFonts w:cs="CourierNew"/>
        </w:rPr>
        <w:fldChar w:fldCharType="begin"/>
      </w:r>
      <w:r w:rsidRPr="00BF041A">
        <w:instrText xml:space="preserve"> TA \l "</w:instrText>
      </w:r>
      <w:r w:rsidRPr="00BF041A">
        <w:rPr>
          <w:color w:val="000000"/>
        </w:rPr>
        <w:instrText>28 C.F.R. § 36.205</w:instrText>
      </w:r>
      <w:r w:rsidRPr="00BF041A">
        <w:instrText xml:space="preserve">" \s "dabmci_a76ba6b39b7c4698ad17add7fa5575b1_1" \c 4 </w:instrText>
      </w:r>
      <w:r>
        <w:rPr>
          <w:rFonts w:cs="CourierNew"/>
        </w:rPr>
        <w:fldChar w:fldCharType="end"/>
      </w:r>
      <w:r w:rsidRPr="00AF561D">
        <w:rPr>
          <w:rFonts w:cs="CourierNew"/>
        </w:rPr>
        <w:t>28 C.F.R. § 36.205</w:t>
      </w:r>
      <w:bookmarkEnd w:id="85"/>
      <w:r w:rsidRPr="00AF561D">
        <w:rPr>
          <w:rFonts w:cs="CourierNew"/>
        </w:rPr>
        <w:t xml:space="preserve">) address the viability of the type of associational claim at issue in </w:t>
      </w:r>
      <w:r w:rsidRPr="00AF561D">
        <w:rPr>
          <w:rFonts w:cs="CourierNew"/>
          <w:i/>
        </w:rPr>
        <w:t xml:space="preserve">NLC I </w:t>
      </w:r>
      <w:r w:rsidRPr="00AF561D">
        <w:rPr>
          <w:rFonts w:cs="CourierNew"/>
        </w:rPr>
        <w:t xml:space="preserve">(or here). The District Court also relied heavily </w:t>
      </w:r>
      <w:r w:rsidRPr="00AF561D">
        <w:t xml:space="preserve">on </w:t>
      </w:r>
      <w:bookmarkStart w:id="86" w:name="dabmci_e0788990986f42f69cbf4d71e6bffa0a"/>
      <w:r>
        <w:fldChar w:fldCharType="begin"/>
      </w:r>
      <w:r w:rsidRPr="00BF041A">
        <w:instrText xml:space="preserve"> TA \l "</w:instrText>
      </w:r>
      <w:r w:rsidRPr="00BF041A">
        <w:rPr>
          <w:i/>
          <w:color w:val="000000"/>
        </w:rPr>
        <w:instrText>Glass v. Hillsboro Sch. Dist.</w:instrText>
      </w:r>
      <w:r w:rsidRPr="00BF041A">
        <w:rPr>
          <w:color w:val="000000"/>
        </w:rPr>
        <w:instrText>,</w:instrText>
      </w:r>
      <w:r w:rsidRPr="00BF041A">
        <w:rPr>
          <w:color w:val="000000"/>
        </w:rPr>
        <w:br/>
        <w:instrText>142 F. Supp. 2d 1286 (D. Or. 2001)</w:instrText>
      </w:r>
      <w:r w:rsidRPr="00BF041A">
        <w:instrText xml:space="preserve">" \s "dabmci_e0788990986f42f69cbf4d71e6bffa0a_1" \c 1 </w:instrText>
      </w:r>
      <w:r>
        <w:fldChar w:fldCharType="end"/>
      </w:r>
      <w:r w:rsidRPr="00AF561D">
        <w:rPr>
          <w:i/>
        </w:rPr>
        <w:t>Glass v. Hillsboro Sch. Dist.</w:t>
      </w:r>
      <w:r w:rsidRPr="00AF561D">
        <w:t xml:space="preserve"> 142 F. Supp. 2d 1286 (D. Or. 2001)</w:t>
      </w:r>
      <w:bookmarkEnd w:id="86"/>
      <w:r w:rsidRPr="00AF561D">
        <w:t xml:space="preserve"> and </w:t>
      </w:r>
      <w:r w:rsidRPr="00AF561D">
        <w:rPr>
          <w:i/>
        </w:rPr>
        <w:t>Simenson v. Hoffman</w:t>
      </w:r>
      <w:r w:rsidRPr="00AF561D">
        <w:t xml:space="preserve">, No. 95-1401, 1995 U.S. Dist. LEXIS 15777 (N.D. Ill. Oct. 20, 1995). </w:t>
      </w:r>
      <w:r w:rsidRPr="00AF561D">
        <w:rPr>
          <w:i/>
        </w:rPr>
        <w:t xml:space="preserve">Glass </w:t>
      </w:r>
      <w:r w:rsidRPr="00AF561D">
        <w:t xml:space="preserve">is inapposite because it involved a school’s decision to disallow experts hired by the parents from observing special education classrooms. And in </w:t>
      </w:r>
      <w:r w:rsidRPr="00AF561D">
        <w:rPr>
          <w:i/>
        </w:rPr>
        <w:t>Simenson</w:t>
      </w:r>
      <w:r w:rsidRPr="00AF561D">
        <w:t>, the court rejected a parent’s associational discrimination claim based on a physician’s refusal to provide medical care to a child. The United States disagrees with that holding.</w:t>
      </w:r>
    </w:p>
  </w:footnote>
  <w:footnote w:id="10">
    <w:p w14:paraId="7E0688E5" w14:textId="36741AAD" w:rsidR="00890947" w:rsidRPr="00AF561D" w:rsidRDefault="00890947" w:rsidP="002D1E2E">
      <w:pPr>
        <w:pStyle w:val="FootnoteText"/>
        <w:spacing w:after="120"/>
        <w:ind w:firstLine="0"/>
        <w:rPr>
          <w:sz w:val="24"/>
          <w:szCs w:val="24"/>
        </w:rPr>
      </w:pPr>
      <w:r w:rsidRPr="00AF561D">
        <w:rPr>
          <w:rStyle w:val="FootnoteReference"/>
          <w:sz w:val="24"/>
          <w:szCs w:val="24"/>
        </w:rPr>
        <w:footnoteRef/>
      </w:r>
      <w:r w:rsidRPr="00AF561D">
        <w:rPr>
          <w:sz w:val="24"/>
          <w:szCs w:val="24"/>
        </w:rPr>
        <w:t xml:space="preserve"> </w:t>
      </w:r>
      <w:r w:rsidRPr="00AF561D">
        <w:rPr>
          <w:sz w:val="24"/>
          <w:szCs w:val="24"/>
        </w:rPr>
        <w:tab/>
      </w:r>
      <w:r>
        <w:rPr>
          <w:sz w:val="24"/>
          <w:szCs w:val="24"/>
        </w:rPr>
        <w:t xml:space="preserve">Notably, </w:t>
      </w:r>
      <w:r w:rsidRPr="00AF561D">
        <w:rPr>
          <w:sz w:val="24"/>
          <w:szCs w:val="24"/>
        </w:rPr>
        <w:t xml:space="preserve">the terms “direct,” “indirect,” and “derivative” do not appear in </w:t>
      </w:r>
      <w:r>
        <w:rPr>
          <w:sz w:val="24"/>
          <w:szCs w:val="24"/>
        </w:rPr>
        <w:br/>
      </w:r>
      <w:r w:rsidRPr="00AF561D">
        <w:rPr>
          <w:sz w:val="24"/>
          <w:szCs w:val="24"/>
        </w:rPr>
        <w:t>§ 12182(b)(1)(E).</w:t>
      </w:r>
      <w:r w:rsidRPr="00AF561D">
        <w:rPr>
          <w:i/>
          <w:sz w:val="24"/>
          <w:szCs w:val="24"/>
        </w:rPr>
        <w:t xml:space="preserve"> See, e.g.,</w:t>
      </w:r>
      <w:r>
        <w:rPr>
          <w:sz w:val="24"/>
          <w:szCs w:val="24"/>
        </w:rPr>
        <w:t xml:space="preserve"> NLC Br. at 24, 25 n.4, 28 n.5.</w:t>
      </w:r>
    </w:p>
  </w:footnote>
  <w:footnote w:id="11">
    <w:p w14:paraId="6FA299A0" w14:textId="6C8B7D5D" w:rsidR="00890947" w:rsidRPr="00AF561D" w:rsidRDefault="00890947" w:rsidP="002D1E2E">
      <w:pPr>
        <w:pStyle w:val="FootnoteText"/>
        <w:spacing w:after="120"/>
        <w:ind w:firstLine="0"/>
        <w:rPr>
          <w:sz w:val="24"/>
          <w:szCs w:val="24"/>
        </w:rPr>
      </w:pPr>
      <w:r w:rsidRPr="00AF561D">
        <w:rPr>
          <w:rStyle w:val="FootnoteReference"/>
          <w:sz w:val="24"/>
          <w:szCs w:val="24"/>
        </w:rPr>
        <w:footnoteRef/>
      </w:r>
      <w:r w:rsidRPr="00AF561D">
        <w:rPr>
          <w:sz w:val="24"/>
          <w:szCs w:val="24"/>
        </w:rPr>
        <w:t xml:space="preserve"> </w:t>
      </w:r>
      <w:r w:rsidRPr="00AF561D">
        <w:rPr>
          <w:sz w:val="24"/>
          <w:szCs w:val="24"/>
        </w:rPr>
        <w:tab/>
        <w:t>NLC states that “[c]ourts around the country have relied on … [</w:t>
      </w:r>
      <w:r w:rsidRPr="00AF561D">
        <w:rPr>
          <w:i/>
          <w:sz w:val="24"/>
          <w:szCs w:val="24"/>
        </w:rPr>
        <w:t>NLC I</w:t>
      </w:r>
      <w:r w:rsidRPr="00AF561D">
        <w:rPr>
          <w:sz w:val="24"/>
          <w:szCs w:val="24"/>
        </w:rPr>
        <w:t xml:space="preserve"> and </w:t>
      </w:r>
      <w:r w:rsidRPr="00AF561D">
        <w:rPr>
          <w:i/>
          <w:sz w:val="24"/>
          <w:szCs w:val="24"/>
        </w:rPr>
        <w:t>NLC II</w:t>
      </w:r>
      <w:r w:rsidRPr="00AF561D">
        <w:rPr>
          <w:sz w:val="24"/>
          <w:szCs w:val="24"/>
        </w:rPr>
        <w:t xml:space="preserve">] in denying associational discrimination claims brought by individuals who did not plead direct discrimination,” and cites two cases to support that assertion. NLC Br. at 26-27. In </w:t>
      </w:r>
      <w:bookmarkStart w:id="87" w:name="dabmci_8b7dfb6891d046f8afe3061e3628584c"/>
      <w:r>
        <w:rPr>
          <w:sz w:val="24"/>
          <w:szCs w:val="24"/>
        </w:rPr>
        <w:fldChar w:fldCharType="begin"/>
      </w:r>
      <w:r w:rsidRPr="00BF041A">
        <w:instrText xml:space="preserve"> TA \l "</w:instrText>
      </w:r>
      <w:r w:rsidRPr="00BF041A">
        <w:rPr>
          <w:i/>
          <w:color w:val="000000"/>
        </w:rPr>
        <w:instrText>D.N. v. Louisa Cnty. Pub. Sch.</w:instrText>
      </w:r>
      <w:r w:rsidRPr="00BF041A">
        <w:rPr>
          <w:color w:val="000000"/>
        </w:rPr>
        <w:instrText>,</w:instrText>
      </w:r>
      <w:r w:rsidRPr="00BF041A">
        <w:rPr>
          <w:color w:val="000000"/>
        </w:rPr>
        <w:br/>
        <w:instrText>156 F. Supp. 3d 767 (W.D. Va. 2016)</w:instrText>
      </w:r>
      <w:r w:rsidRPr="00BF041A">
        <w:instrText xml:space="preserve">" \s "dabmci_8b7dfb6891d046f8afe3061e3628584c_2" \c 1 </w:instrText>
      </w:r>
      <w:r>
        <w:rPr>
          <w:sz w:val="24"/>
          <w:szCs w:val="24"/>
        </w:rPr>
        <w:fldChar w:fldCharType="end"/>
      </w:r>
      <w:r w:rsidRPr="00AF561D">
        <w:rPr>
          <w:i/>
          <w:sz w:val="24"/>
          <w:szCs w:val="24"/>
        </w:rPr>
        <w:t>D.N. v. Louisa Cnty. Pub. Sch.</w:t>
      </w:r>
      <w:r w:rsidRPr="00AF561D">
        <w:rPr>
          <w:sz w:val="24"/>
          <w:szCs w:val="24"/>
        </w:rPr>
        <w:t>, 156 F. Supp. 3d 767 (W.D. Va. 2016)</w:t>
      </w:r>
      <w:bookmarkEnd w:id="87"/>
      <w:r w:rsidRPr="00AF561D">
        <w:rPr>
          <w:sz w:val="24"/>
          <w:szCs w:val="24"/>
        </w:rPr>
        <w:t xml:space="preserve">, the district court quoted </w:t>
      </w:r>
      <w:r w:rsidRPr="00AF561D">
        <w:rPr>
          <w:i/>
          <w:sz w:val="24"/>
          <w:szCs w:val="24"/>
        </w:rPr>
        <w:t>NLC II</w:t>
      </w:r>
      <w:r w:rsidRPr="00AF561D">
        <w:rPr>
          <w:sz w:val="24"/>
          <w:szCs w:val="24"/>
        </w:rPr>
        <w:t xml:space="preserve"> for the uncontroversial proposition that associational discrimination claims require a “separate and distinct denial of a benefit or services to a nondisabled person.” </w:t>
      </w:r>
      <w:bookmarkStart w:id="88" w:name="dabmci_cf83cd46fabd417eabf2c10db5a9ecb6"/>
      <w:r>
        <w:rPr>
          <w:sz w:val="24"/>
          <w:szCs w:val="24"/>
        </w:rPr>
        <w:fldChar w:fldCharType="begin"/>
      </w:r>
      <w:r w:rsidRPr="00BF041A">
        <w:instrText xml:space="preserve"> TA \l "</w:instrText>
      </w:r>
      <w:r w:rsidRPr="00BF041A">
        <w:rPr>
          <w:i/>
          <w:color w:val="000000"/>
        </w:rPr>
        <w:instrText>D.N. v. Louisa Cnty. Pub. Sch.</w:instrText>
      </w:r>
      <w:r w:rsidRPr="00BF041A">
        <w:rPr>
          <w:color w:val="000000"/>
        </w:rPr>
        <w:instrText>,</w:instrText>
      </w:r>
      <w:r w:rsidRPr="00BF041A">
        <w:rPr>
          <w:color w:val="000000"/>
        </w:rPr>
        <w:br/>
        <w:instrText>156 F. Supp. 3d 767 (W.D. Va. 2016)</w:instrText>
      </w:r>
      <w:r w:rsidRPr="00BF041A">
        <w:instrText xml:space="preserve">" \s "dabmci_8b7dfb6891d046f8afe3061e3628584c_2" \c 1 </w:instrText>
      </w:r>
      <w:r>
        <w:rPr>
          <w:sz w:val="24"/>
          <w:szCs w:val="24"/>
        </w:rPr>
        <w:fldChar w:fldCharType="end"/>
      </w:r>
      <w:r w:rsidRPr="00AF561D">
        <w:rPr>
          <w:i/>
          <w:sz w:val="24"/>
          <w:szCs w:val="24"/>
        </w:rPr>
        <w:t>Id.</w:t>
      </w:r>
      <w:r w:rsidRPr="00AF561D">
        <w:rPr>
          <w:sz w:val="24"/>
          <w:szCs w:val="24"/>
        </w:rPr>
        <w:t xml:space="preserve"> at 773</w:t>
      </w:r>
      <w:bookmarkEnd w:id="88"/>
      <w:r w:rsidRPr="00AF561D">
        <w:rPr>
          <w:sz w:val="24"/>
          <w:szCs w:val="24"/>
        </w:rPr>
        <w:t xml:space="preserve">. And in </w:t>
      </w:r>
      <w:r w:rsidRPr="00AF561D">
        <w:rPr>
          <w:i/>
          <w:sz w:val="24"/>
          <w:szCs w:val="24"/>
        </w:rPr>
        <w:t>J.D. v Georgetown Indep. Sch. Dist.</w:t>
      </w:r>
      <w:r w:rsidRPr="00AF561D">
        <w:rPr>
          <w:sz w:val="24"/>
          <w:szCs w:val="24"/>
        </w:rPr>
        <w:t xml:space="preserve">, No. 10-CA-717, </w:t>
      </w:r>
      <w:r w:rsidRPr="00AF561D">
        <w:rPr>
          <w:rFonts w:cs="Arial"/>
          <w:sz w:val="24"/>
          <w:szCs w:val="24"/>
        </w:rPr>
        <w:t xml:space="preserve">2011 U.S. Dist. LEXIS 79335 (W.D. Tex. July 21, 2011), a district court cited </w:t>
      </w:r>
      <w:r w:rsidRPr="00AF561D">
        <w:rPr>
          <w:rFonts w:cs="Arial"/>
          <w:i/>
          <w:sz w:val="24"/>
          <w:szCs w:val="24"/>
        </w:rPr>
        <w:t xml:space="preserve">NLC II </w:t>
      </w:r>
      <w:r w:rsidRPr="00AF561D">
        <w:rPr>
          <w:rFonts w:cs="Arial"/>
          <w:sz w:val="24"/>
          <w:szCs w:val="24"/>
        </w:rPr>
        <w:t xml:space="preserve">when it denied a parent’s associational discrimination claim. But </w:t>
      </w:r>
      <w:r w:rsidRPr="00AF561D">
        <w:rPr>
          <w:rFonts w:cs="Arial"/>
          <w:i/>
          <w:sz w:val="24"/>
          <w:szCs w:val="24"/>
        </w:rPr>
        <w:t xml:space="preserve">J.D. </w:t>
      </w:r>
      <w:r w:rsidRPr="00AF561D">
        <w:rPr>
          <w:rFonts w:cs="Arial"/>
          <w:sz w:val="24"/>
          <w:szCs w:val="24"/>
        </w:rPr>
        <w:t xml:space="preserve">did not involve expulsion of a child from a daycare program and, unlike the instant action, there were no allegations in the complaint that the parents were denied a benefit or service. </w:t>
      </w:r>
      <w:r w:rsidRPr="00AF561D">
        <w:rPr>
          <w:rFonts w:cs="Arial"/>
          <w:i/>
          <w:sz w:val="24"/>
          <w:szCs w:val="24"/>
        </w:rPr>
        <w:t>Id. at *</w:t>
      </w:r>
      <w:r w:rsidRPr="00AF561D">
        <w:rPr>
          <w:rFonts w:cs="Arial"/>
          <w:sz w:val="24"/>
          <w:szCs w:val="24"/>
        </w:rPr>
        <w:t>29-30.</w:t>
      </w:r>
    </w:p>
  </w:footnote>
  <w:footnote w:id="12">
    <w:p w14:paraId="4BEC7B65" w14:textId="53E8A064" w:rsidR="00890947" w:rsidRPr="00AF561D" w:rsidRDefault="00890947" w:rsidP="002D1E2E">
      <w:pPr>
        <w:pStyle w:val="FootnoteText"/>
        <w:spacing w:after="120"/>
        <w:ind w:firstLine="0"/>
        <w:rPr>
          <w:sz w:val="24"/>
          <w:szCs w:val="24"/>
        </w:rPr>
      </w:pPr>
      <w:r w:rsidRPr="00AF561D">
        <w:rPr>
          <w:rStyle w:val="FootnoteReference"/>
          <w:sz w:val="24"/>
          <w:szCs w:val="24"/>
        </w:rPr>
        <w:footnoteRef/>
      </w:r>
      <w:r w:rsidRPr="00AF561D">
        <w:rPr>
          <w:sz w:val="24"/>
          <w:szCs w:val="24"/>
        </w:rPr>
        <w:t xml:space="preserve"> </w:t>
      </w:r>
      <w:r w:rsidRPr="00AF561D">
        <w:rPr>
          <w:sz w:val="24"/>
          <w:szCs w:val="24"/>
        </w:rPr>
        <w:tab/>
      </w:r>
      <w:r w:rsidRPr="00AF561D">
        <w:rPr>
          <w:i/>
          <w:sz w:val="24"/>
          <w:szCs w:val="24"/>
        </w:rPr>
        <w:t xml:space="preserve">S.K. </w:t>
      </w:r>
      <w:r w:rsidRPr="00AF561D">
        <w:rPr>
          <w:sz w:val="24"/>
          <w:szCs w:val="24"/>
        </w:rPr>
        <w:t xml:space="preserve">involved a claim under Title II of the ADA, not Title III. In some cases, that distinction can be critical; in </w:t>
      </w:r>
      <w:r w:rsidRPr="00AF561D">
        <w:rPr>
          <w:i/>
          <w:sz w:val="24"/>
          <w:szCs w:val="24"/>
        </w:rPr>
        <w:t>S.K.</w:t>
      </w:r>
      <w:r w:rsidRPr="00AF561D">
        <w:rPr>
          <w:sz w:val="24"/>
          <w:szCs w:val="24"/>
        </w:rPr>
        <w:t xml:space="preserve"> it is irrelevant. The Department of Justice implementing regulation at issue in that case mirrors the language of Title III’s associational discrimination provision. </w:t>
      </w:r>
      <w:r w:rsidRPr="00AF561D">
        <w:rPr>
          <w:i/>
          <w:sz w:val="24"/>
          <w:szCs w:val="24"/>
        </w:rPr>
        <w:t xml:space="preserve">Compare </w:t>
      </w:r>
      <w:bookmarkStart w:id="90" w:name="dabmci_3fae748c96184f4d895beac2782728e1"/>
      <w:r>
        <w:rPr>
          <w:i/>
          <w:sz w:val="24"/>
          <w:szCs w:val="24"/>
        </w:rPr>
        <w:fldChar w:fldCharType="begin"/>
      </w:r>
      <w:r w:rsidRPr="00BF041A">
        <w:instrText xml:space="preserve"> TA \l "</w:instrText>
      </w:r>
      <w:r w:rsidRPr="00BF041A">
        <w:rPr>
          <w:color w:val="000000"/>
        </w:rPr>
        <w:instrText>42 U.S.C. § 12181(b)(1)(E)</w:instrText>
      </w:r>
      <w:r w:rsidRPr="00BF041A">
        <w:instrText xml:space="preserve">" \s "dabmci_3fae748c96184f4d895beac2782728e1_1" \c 2 </w:instrText>
      </w:r>
      <w:r>
        <w:rPr>
          <w:i/>
          <w:sz w:val="24"/>
          <w:szCs w:val="24"/>
        </w:rPr>
        <w:fldChar w:fldCharType="end"/>
      </w:r>
      <w:r w:rsidRPr="00AF561D">
        <w:rPr>
          <w:sz w:val="24"/>
          <w:szCs w:val="24"/>
        </w:rPr>
        <w:t>42 U.S.C. § 12181(b)(1)(E)</w:t>
      </w:r>
      <w:bookmarkEnd w:id="90"/>
      <w:r w:rsidRPr="00AF561D">
        <w:rPr>
          <w:sz w:val="24"/>
          <w:szCs w:val="24"/>
        </w:rPr>
        <w:t xml:space="preserve">, </w:t>
      </w:r>
      <w:r w:rsidRPr="00AF561D">
        <w:rPr>
          <w:i/>
          <w:sz w:val="24"/>
          <w:szCs w:val="24"/>
        </w:rPr>
        <w:t xml:space="preserve">with </w:t>
      </w:r>
      <w:bookmarkStart w:id="91" w:name="dabmci_0bf1fcc8a93b45df86194e04d483f102"/>
      <w:r>
        <w:rPr>
          <w:i/>
          <w:sz w:val="24"/>
          <w:szCs w:val="24"/>
        </w:rPr>
        <w:fldChar w:fldCharType="begin"/>
      </w:r>
      <w:r w:rsidRPr="00BF041A">
        <w:instrText xml:space="preserve"> TA \l "</w:instrText>
      </w:r>
      <w:r w:rsidRPr="00BF041A">
        <w:rPr>
          <w:color w:val="000000"/>
        </w:rPr>
        <w:instrText>28 C.F.R. § 35.130(g)</w:instrText>
      </w:r>
      <w:r w:rsidRPr="00BF041A">
        <w:instrText xml:space="preserve">" \s "dabmci_0bf1fcc8a93b45df86194e04d483f102_1" \c 4 </w:instrText>
      </w:r>
      <w:r>
        <w:rPr>
          <w:i/>
          <w:sz w:val="24"/>
          <w:szCs w:val="24"/>
        </w:rPr>
        <w:fldChar w:fldCharType="end"/>
      </w:r>
      <w:r w:rsidRPr="00AF561D">
        <w:rPr>
          <w:sz w:val="24"/>
          <w:szCs w:val="24"/>
        </w:rPr>
        <w:t>28 C.F.R. § 35.130(g)</w:t>
      </w:r>
      <w:bookmarkEnd w:id="91"/>
      <w:r w:rsidRPr="00AF561D">
        <w:rPr>
          <w:sz w:val="24"/>
          <w:szCs w:val="24"/>
        </w:rPr>
        <w:t xml:space="preserve">. </w:t>
      </w:r>
    </w:p>
  </w:footnote>
  <w:footnote w:id="13">
    <w:p w14:paraId="4A46BDAA" w14:textId="4BE6C699" w:rsidR="00890947" w:rsidRPr="00AF561D" w:rsidRDefault="00890947" w:rsidP="002D1E2E">
      <w:pPr>
        <w:pStyle w:val="FootnoteText"/>
        <w:spacing w:after="120"/>
        <w:ind w:firstLine="0"/>
        <w:rPr>
          <w:sz w:val="24"/>
          <w:szCs w:val="24"/>
        </w:rPr>
      </w:pPr>
      <w:r w:rsidRPr="00AF561D">
        <w:rPr>
          <w:rStyle w:val="FootnoteReference"/>
          <w:sz w:val="24"/>
          <w:szCs w:val="24"/>
        </w:rPr>
        <w:footnoteRef/>
      </w:r>
      <w:r w:rsidRPr="00AF561D">
        <w:rPr>
          <w:sz w:val="24"/>
          <w:szCs w:val="24"/>
        </w:rPr>
        <w:t xml:space="preserve"> </w:t>
      </w:r>
      <w:r w:rsidRPr="00AF561D">
        <w:rPr>
          <w:sz w:val="24"/>
          <w:szCs w:val="24"/>
        </w:rPr>
        <w:tab/>
        <w:t xml:space="preserve">The United States also brings to the Court’s attention a decision in </w:t>
      </w:r>
      <w:r w:rsidRPr="00AF561D">
        <w:rPr>
          <w:i/>
          <w:sz w:val="24"/>
          <w:szCs w:val="24"/>
        </w:rPr>
        <w:t xml:space="preserve">Orr v. Kindercare Learning Centers, Inc. </w:t>
      </w:r>
      <w:r w:rsidRPr="00AF561D">
        <w:rPr>
          <w:sz w:val="24"/>
          <w:szCs w:val="24"/>
        </w:rPr>
        <w:t xml:space="preserve">Civ. No. 95-507 (E.D. Cal. June 9, 1995). Simunovich Dec., Exh. G. There, parents of a child with a disability brought associational discrimination claims on the grounds that “a public accommodation such as Kindercare [a child care provider] provides services not only to children, but also to the parents of children by providing after school care, a service that parents would otherwise have to provide themselves.” </w:t>
      </w:r>
      <w:r w:rsidRPr="00AF561D">
        <w:rPr>
          <w:i/>
          <w:sz w:val="24"/>
          <w:szCs w:val="24"/>
        </w:rPr>
        <w:t>Id.</w:t>
      </w:r>
      <w:r w:rsidRPr="00AF561D">
        <w:rPr>
          <w:sz w:val="24"/>
          <w:szCs w:val="24"/>
        </w:rPr>
        <w:t xml:space="preserve"> at 10. The district court held that the parents’ claim “raised litigable questions” and granted in part the parents’ request for preliminary injunctive relief. </w:t>
      </w:r>
      <w:r w:rsidRPr="00AF561D">
        <w:rPr>
          <w:i/>
          <w:sz w:val="24"/>
          <w:szCs w:val="24"/>
        </w:rPr>
        <w:t>Id.</w:t>
      </w:r>
      <w:r w:rsidRPr="00AF561D">
        <w:rPr>
          <w:sz w:val="24"/>
          <w:szCs w:val="24"/>
        </w:rPr>
        <w:t xml:space="preserve"> at 21. </w:t>
      </w:r>
    </w:p>
  </w:footnote>
  <w:footnote w:id="14">
    <w:p w14:paraId="16E6F2C9" w14:textId="6C97F3A5" w:rsidR="00890947" w:rsidRPr="00AF561D" w:rsidRDefault="00890947" w:rsidP="002D1E2E">
      <w:pPr>
        <w:pStyle w:val="FootnoteText"/>
        <w:spacing w:after="120"/>
        <w:ind w:firstLine="0"/>
        <w:rPr>
          <w:sz w:val="24"/>
          <w:szCs w:val="24"/>
        </w:rPr>
      </w:pPr>
      <w:r w:rsidRPr="00AF561D">
        <w:rPr>
          <w:rStyle w:val="FootnoteReference"/>
          <w:sz w:val="24"/>
          <w:szCs w:val="24"/>
        </w:rPr>
        <w:footnoteRef/>
      </w:r>
      <w:r w:rsidRPr="00AF561D">
        <w:rPr>
          <w:sz w:val="24"/>
          <w:szCs w:val="24"/>
        </w:rPr>
        <w:t xml:space="preserve"> </w:t>
      </w:r>
      <w:r w:rsidRPr="00AF561D">
        <w:rPr>
          <w:sz w:val="24"/>
          <w:szCs w:val="24"/>
        </w:rPr>
        <w:tab/>
        <w:t xml:space="preserve">The relief sought in the Complaint is consistent with the relief the Attorney General routinely seeks—and obtains—in similar cases. </w:t>
      </w:r>
      <w:r w:rsidRPr="00AF561D">
        <w:rPr>
          <w:i/>
          <w:sz w:val="24"/>
          <w:szCs w:val="24"/>
        </w:rPr>
        <w:t>See, e.g.</w:t>
      </w:r>
      <w:r w:rsidRPr="00AF561D">
        <w:rPr>
          <w:sz w:val="24"/>
          <w:szCs w:val="24"/>
        </w:rPr>
        <w:t>, https://www.ada.</w:t>
      </w:r>
      <w:r w:rsidRPr="00AF561D">
        <w:rPr>
          <w:sz w:val="24"/>
          <w:szCs w:val="24"/>
        </w:rPr>
        <w:br/>
        <w:t>gov/enforce_activities.htm#complaints (last visited Apr. 28, 2017) (collecting complaints and settlement agreements in cases brought by the Attorney General).</w:t>
      </w:r>
    </w:p>
  </w:footnote>
  <w:footnote w:id="15">
    <w:p w14:paraId="5ECCA653" w14:textId="77777777" w:rsidR="00890947" w:rsidRPr="00AF561D" w:rsidRDefault="00890947" w:rsidP="002D1E2E">
      <w:pPr>
        <w:pStyle w:val="FootnoteText"/>
        <w:spacing w:after="120"/>
        <w:ind w:firstLine="0"/>
        <w:rPr>
          <w:sz w:val="24"/>
          <w:szCs w:val="24"/>
        </w:rPr>
      </w:pPr>
      <w:r w:rsidRPr="00AF561D">
        <w:rPr>
          <w:rStyle w:val="FootnoteReference"/>
          <w:sz w:val="24"/>
          <w:szCs w:val="24"/>
        </w:rPr>
        <w:footnoteRef/>
      </w:r>
      <w:r w:rsidRPr="00AF561D">
        <w:rPr>
          <w:sz w:val="24"/>
          <w:szCs w:val="24"/>
        </w:rPr>
        <w:t xml:space="preserve"> </w:t>
      </w:r>
      <w:r w:rsidRPr="00AF561D">
        <w:rPr>
          <w:sz w:val="24"/>
          <w:szCs w:val="24"/>
        </w:rPr>
        <w:tab/>
        <w:t xml:space="preserve">If the Court agrees with NLC on this issue, the United States requests leave to amend the Complaint.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76DF1" w14:textId="77777777" w:rsidR="006208CA" w:rsidRDefault="00620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587B4" w14:textId="77777777" w:rsidR="006208CA" w:rsidRDefault="00620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779A" w14:textId="77777777" w:rsidR="006208CA" w:rsidRDefault="00620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34281"/>
    <w:multiLevelType w:val="hybridMultilevel"/>
    <w:tmpl w:val="02AE4ACE"/>
    <w:lvl w:ilvl="0" w:tplc="173A4FDA">
      <w:start w:val="1"/>
      <w:numFmt w:val="upperRoman"/>
      <w:pStyle w:val="Heading2"/>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A214F"/>
    <w:multiLevelType w:val="hybridMultilevel"/>
    <w:tmpl w:val="8AF432BC"/>
    <w:lvl w:ilvl="0" w:tplc="FACCFA1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F05D6B"/>
    <w:multiLevelType w:val="multilevel"/>
    <w:tmpl w:val="3F981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07C24"/>
    <w:multiLevelType w:val="hybridMultilevel"/>
    <w:tmpl w:val="15E6A016"/>
    <w:lvl w:ilvl="0" w:tplc="DDB05D14">
      <w:start w:val="1"/>
      <w:numFmt w:val="upperLetter"/>
      <w:pStyle w:val="Heading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C606AB5"/>
    <w:multiLevelType w:val="hybridMultilevel"/>
    <w:tmpl w:val="55C2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4069F"/>
    <w:multiLevelType w:val="hybridMultilevel"/>
    <w:tmpl w:val="5900E06A"/>
    <w:lvl w:ilvl="0" w:tplc="0390FC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C6354"/>
    <w:multiLevelType w:val="hybridMultilevel"/>
    <w:tmpl w:val="D79E457C"/>
    <w:lvl w:ilvl="0" w:tplc="C3949716">
      <w:start w:val="1"/>
      <w:numFmt w:val="lowerRoman"/>
      <w:pStyle w:val="Heading4"/>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FAA0123"/>
    <w:multiLevelType w:val="hybridMultilevel"/>
    <w:tmpl w:val="B6EAC6B2"/>
    <w:lvl w:ilvl="0" w:tplc="CFA6C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3"/>
    <w:lvlOverride w:ilvl="0">
      <w:startOverride w:val="1"/>
    </w:lvlOverride>
  </w:num>
  <w:num w:numId="5">
    <w:abstractNumId w:val="3"/>
    <w:lvlOverride w:ilvl="0">
      <w:startOverride w:val="1"/>
    </w:lvlOverride>
  </w:num>
  <w:num w:numId="6">
    <w:abstractNumId w:val="1"/>
  </w:num>
  <w:num w:numId="7">
    <w:abstractNumId w:val="5"/>
  </w:num>
  <w:num w:numId="8">
    <w:abstractNumId w:val="7"/>
  </w:num>
  <w:num w:numId="9">
    <w:abstractNumId w:val="4"/>
  </w:num>
  <w:num w:numId="10">
    <w:abstractNumId w:val="3"/>
    <w:lvlOverride w:ilvl="0">
      <w:startOverride w:val="1"/>
    </w:lvlOverride>
  </w:num>
  <w:num w:numId="11">
    <w:abstractNumId w:val="2"/>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35"/>
    <w:rsid w:val="000172CE"/>
    <w:rsid w:val="00032C99"/>
    <w:rsid w:val="00034A55"/>
    <w:rsid w:val="00036894"/>
    <w:rsid w:val="0004130A"/>
    <w:rsid w:val="00057B5C"/>
    <w:rsid w:val="00060EA3"/>
    <w:rsid w:val="000722CD"/>
    <w:rsid w:val="000764B4"/>
    <w:rsid w:val="0008069B"/>
    <w:rsid w:val="00093FDB"/>
    <w:rsid w:val="000B244B"/>
    <w:rsid w:val="000C0E93"/>
    <w:rsid w:val="000C1135"/>
    <w:rsid w:val="000C56E9"/>
    <w:rsid w:val="000E3DCA"/>
    <w:rsid w:val="001239FC"/>
    <w:rsid w:val="00155FB8"/>
    <w:rsid w:val="001560A3"/>
    <w:rsid w:val="00161CFC"/>
    <w:rsid w:val="001707BB"/>
    <w:rsid w:val="00196E48"/>
    <w:rsid w:val="001A1FD3"/>
    <w:rsid w:val="001A4F4E"/>
    <w:rsid w:val="001C25A0"/>
    <w:rsid w:val="001D03AF"/>
    <w:rsid w:val="001E0EE1"/>
    <w:rsid w:val="001E2F23"/>
    <w:rsid w:val="0021695F"/>
    <w:rsid w:val="00223469"/>
    <w:rsid w:val="00225A9A"/>
    <w:rsid w:val="0023472F"/>
    <w:rsid w:val="002377BD"/>
    <w:rsid w:val="00261682"/>
    <w:rsid w:val="0027742F"/>
    <w:rsid w:val="00292202"/>
    <w:rsid w:val="002A2970"/>
    <w:rsid w:val="002B0106"/>
    <w:rsid w:val="002B3EFD"/>
    <w:rsid w:val="002B71C9"/>
    <w:rsid w:val="002C293D"/>
    <w:rsid w:val="002C77A8"/>
    <w:rsid w:val="002D1E2E"/>
    <w:rsid w:val="002F2583"/>
    <w:rsid w:val="00310F95"/>
    <w:rsid w:val="00323B16"/>
    <w:rsid w:val="00326A1B"/>
    <w:rsid w:val="00341A66"/>
    <w:rsid w:val="00344940"/>
    <w:rsid w:val="00351608"/>
    <w:rsid w:val="003636CD"/>
    <w:rsid w:val="003819C8"/>
    <w:rsid w:val="00383C57"/>
    <w:rsid w:val="00386624"/>
    <w:rsid w:val="00390E85"/>
    <w:rsid w:val="00395335"/>
    <w:rsid w:val="003A2773"/>
    <w:rsid w:val="003D228F"/>
    <w:rsid w:val="003D311B"/>
    <w:rsid w:val="0040104B"/>
    <w:rsid w:val="00422F65"/>
    <w:rsid w:val="00426573"/>
    <w:rsid w:val="004428DF"/>
    <w:rsid w:val="0044577D"/>
    <w:rsid w:val="0045460D"/>
    <w:rsid w:val="00462FE6"/>
    <w:rsid w:val="00473F43"/>
    <w:rsid w:val="00480D03"/>
    <w:rsid w:val="00490A26"/>
    <w:rsid w:val="00491821"/>
    <w:rsid w:val="00493B8E"/>
    <w:rsid w:val="004A0212"/>
    <w:rsid w:val="004A22BA"/>
    <w:rsid w:val="004A2B86"/>
    <w:rsid w:val="004B7AF2"/>
    <w:rsid w:val="004C1A30"/>
    <w:rsid w:val="004D290E"/>
    <w:rsid w:val="004D72E6"/>
    <w:rsid w:val="00510C5E"/>
    <w:rsid w:val="005178E9"/>
    <w:rsid w:val="00520869"/>
    <w:rsid w:val="0052172E"/>
    <w:rsid w:val="00525570"/>
    <w:rsid w:val="00534304"/>
    <w:rsid w:val="005344BE"/>
    <w:rsid w:val="00570EBE"/>
    <w:rsid w:val="005946A6"/>
    <w:rsid w:val="005A22FA"/>
    <w:rsid w:val="005A5FAB"/>
    <w:rsid w:val="005B7CEE"/>
    <w:rsid w:val="005D41ED"/>
    <w:rsid w:val="005E33A0"/>
    <w:rsid w:val="005F40F8"/>
    <w:rsid w:val="006049AB"/>
    <w:rsid w:val="006208CA"/>
    <w:rsid w:val="006446E6"/>
    <w:rsid w:val="00645F8E"/>
    <w:rsid w:val="006473DA"/>
    <w:rsid w:val="006504E7"/>
    <w:rsid w:val="006536A4"/>
    <w:rsid w:val="00653FD2"/>
    <w:rsid w:val="00662555"/>
    <w:rsid w:val="00681D92"/>
    <w:rsid w:val="0069502C"/>
    <w:rsid w:val="006D1021"/>
    <w:rsid w:val="006D7947"/>
    <w:rsid w:val="006F4025"/>
    <w:rsid w:val="007005AA"/>
    <w:rsid w:val="007133C3"/>
    <w:rsid w:val="00716EBD"/>
    <w:rsid w:val="00723F08"/>
    <w:rsid w:val="00727575"/>
    <w:rsid w:val="00742302"/>
    <w:rsid w:val="00754F0F"/>
    <w:rsid w:val="0079581D"/>
    <w:rsid w:val="007A3FAA"/>
    <w:rsid w:val="007A600F"/>
    <w:rsid w:val="007B39FA"/>
    <w:rsid w:val="007E48CD"/>
    <w:rsid w:val="007F3EC9"/>
    <w:rsid w:val="007F69A5"/>
    <w:rsid w:val="00814588"/>
    <w:rsid w:val="008239F9"/>
    <w:rsid w:val="00861727"/>
    <w:rsid w:val="008627FD"/>
    <w:rsid w:val="00865EF8"/>
    <w:rsid w:val="00870EC6"/>
    <w:rsid w:val="00874B99"/>
    <w:rsid w:val="00885246"/>
    <w:rsid w:val="00890947"/>
    <w:rsid w:val="00893E7A"/>
    <w:rsid w:val="008A1FE0"/>
    <w:rsid w:val="008B28A4"/>
    <w:rsid w:val="008B2EE4"/>
    <w:rsid w:val="008B43FF"/>
    <w:rsid w:val="008C1F89"/>
    <w:rsid w:val="008D03DF"/>
    <w:rsid w:val="008D4716"/>
    <w:rsid w:val="008F29A3"/>
    <w:rsid w:val="009233B5"/>
    <w:rsid w:val="00947286"/>
    <w:rsid w:val="00947503"/>
    <w:rsid w:val="00951906"/>
    <w:rsid w:val="00961C02"/>
    <w:rsid w:val="0096672C"/>
    <w:rsid w:val="00985595"/>
    <w:rsid w:val="009A011E"/>
    <w:rsid w:val="009B03CD"/>
    <w:rsid w:val="009C0411"/>
    <w:rsid w:val="009E2DFF"/>
    <w:rsid w:val="009E7ACC"/>
    <w:rsid w:val="00A33693"/>
    <w:rsid w:val="00A3383D"/>
    <w:rsid w:val="00A40C9D"/>
    <w:rsid w:val="00A73157"/>
    <w:rsid w:val="00AE7B11"/>
    <w:rsid w:val="00AF561D"/>
    <w:rsid w:val="00B04E83"/>
    <w:rsid w:val="00B20060"/>
    <w:rsid w:val="00B20821"/>
    <w:rsid w:val="00B2243C"/>
    <w:rsid w:val="00B3362D"/>
    <w:rsid w:val="00B33C1F"/>
    <w:rsid w:val="00B57CB0"/>
    <w:rsid w:val="00B67698"/>
    <w:rsid w:val="00B71B4E"/>
    <w:rsid w:val="00B8011F"/>
    <w:rsid w:val="00BA0E3A"/>
    <w:rsid w:val="00BA70A7"/>
    <w:rsid w:val="00BB3FE7"/>
    <w:rsid w:val="00BD5567"/>
    <w:rsid w:val="00BE5EE8"/>
    <w:rsid w:val="00BE722B"/>
    <w:rsid w:val="00BF041A"/>
    <w:rsid w:val="00C02608"/>
    <w:rsid w:val="00C047E8"/>
    <w:rsid w:val="00C063CF"/>
    <w:rsid w:val="00C1044D"/>
    <w:rsid w:val="00C12CCF"/>
    <w:rsid w:val="00C16E28"/>
    <w:rsid w:val="00C2098E"/>
    <w:rsid w:val="00C238B1"/>
    <w:rsid w:val="00C37065"/>
    <w:rsid w:val="00C404CD"/>
    <w:rsid w:val="00C510CF"/>
    <w:rsid w:val="00C528B7"/>
    <w:rsid w:val="00C52B46"/>
    <w:rsid w:val="00C87FF5"/>
    <w:rsid w:val="00C9020C"/>
    <w:rsid w:val="00C971D5"/>
    <w:rsid w:val="00CA28CC"/>
    <w:rsid w:val="00CA5441"/>
    <w:rsid w:val="00CA5F9A"/>
    <w:rsid w:val="00CA6117"/>
    <w:rsid w:val="00CC0FB0"/>
    <w:rsid w:val="00CD558E"/>
    <w:rsid w:val="00CF18E9"/>
    <w:rsid w:val="00CF2E3B"/>
    <w:rsid w:val="00D1243D"/>
    <w:rsid w:val="00D17EBD"/>
    <w:rsid w:val="00D24D8B"/>
    <w:rsid w:val="00D27F40"/>
    <w:rsid w:val="00D31F63"/>
    <w:rsid w:val="00D64F99"/>
    <w:rsid w:val="00D66F0A"/>
    <w:rsid w:val="00D74108"/>
    <w:rsid w:val="00D80D20"/>
    <w:rsid w:val="00DC78D8"/>
    <w:rsid w:val="00DF622C"/>
    <w:rsid w:val="00E03F16"/>
    <w:rsid w:val="00E168F3"/>
    <w:rsid w:val="00E34999"/>
    <w:rsid w:val="00E3776B"/>
    <w:rsid w:val="00E37DAC"/>
    <w:rsid w:val="00E43BFC"/>
    <w:rsid w:val="00E46DD2"/>
    <w:rsid w:val="00E7766A"/>
    <w:rsid w:val="00E821F4"/>
    <w:rsid w:val="00E84029"/>
    <w:rsid w:val="00E9165C"/>
    <w:rsid w:val="00E93551"/>
    <w:rsid w:val="00E9537B"/>
    <w:rsid w:val="00EA09D2"/>
    <w:rsid w:val="00EB7DA2"/>
    <w:rsid w:val="00EC055C"/>
    <w:rsid w:val="00EC49C6"/>
    <w:rsid w:val="00EE766D"/>
    <w:rsid w:val="00F13BB0"/>
    <w:rsid w:val="00F209AF"/>
    <w:rsid w:val="00F20A8B"/>
    <w:rsid w:val="00F23FD3"/>
    <w:rsid w:val="00F33AAA"/>
    <w:rsid w:val="00F4217A"/>
    <w:rsid w:val="00F50CBD"/>
    <w:rsid w:val="00F66E4D"/>
    <w:rsid w:val="00F67C15"/>
    <w:rsid w:val="00F739BA"/>
    <w:rsid w:val="00F743D6"/>
    <w:rsid w:val="00F75C0A"/>
    <w:rsid w:val="00F856B3"/>
    <w:rsid w:val="00FA113A"/>
    <w:rsid w:val="00FA6B4D"/>
    <w:rsid w:val="00FB609F"/>
    <w:rsid w:val="00FC00AF"/>
    <w:rsid w:val="00FC2EEE"/>
    <w:rsid w:val="00FE1C4D"/>
    <w:rsid w:val="00FF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5D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Theme="minorHAnsi" w:hAnsi="Century Schoolbook"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135"/>
    <w:pPr>
      <w:spacing w:after="0" w:line="240" w:lineRule="auto"/>
    </w:pPr>
  </w:style>
  <w:style w:type="paragraph" w:styleId="Heading1">
    <w:name w:val="heading 1"/>
    <w:basedOn w:val="Normal"/>
    <w:next w:val="Normal"/>
    <w:link w:val="Heading1Char"/>
    <w:uiPriority w:val="9"/>
    <w:qFormat/>
    <w:rsid w:val="00E93551"/>
    <w:pPr>
      <w:keepNext/>
      <w:keepLines/>
      <w:spacing w:after="240"/>
      <w:jc w:val="center"/>
      <w:outlineLvl w:val="0"/>
    </w:pPr>
    <w:rPr>
      <w:rFonts w:eastAsiaTheme="majorEastAsia" w:cstheme="majorBidi"/>
      <w:szCs w:val="32"/>
      <w:u w:val="single"/>
    </w:rPr>
  </w:style>
  <w:style w:type="paragraph" w:styleId="Heading2">
    <w:name w:val="heading 2"/>
    <w:basedOn w:val="Normal"/>
    <w:next w:val="Normal"/>
    <w:link w:val="Heading2Char"/>
    <w:uiPriority w:val="9"/>
    <w:unhideWhenUsed/>
    <w:qFormat/>
    <w:rsid w:val="00261682"/>
    <w:pPr>
      <w:keepNext/>
      <w:keepLines/>
      <w:numPr>
        <w:numId w:val="1"/>
      </w:numPr>
      <w:spacing w:after="240"/>
      <w:ind w:left="108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261682"/>
    <w:pPr>
      <w:keepNext/>
      <w:keepLines/>
      <w:numPr>
        <w:numId w:val="2"/>
      </w:numPr>
      <w:spacing w:after="240"/>
      <w:outlineLvl w:val="2"/>
    </w:pPr>
    <w:rPr>
      <w:rFonts w:eastAsiaTheme="majorEastAsia" w:cstheme="majorBidi"/>
      <w:b/>
    </w:rPr>
  </w:style>
  <w:style w:type="paragraph" w:styleId="Heading4">
    <w:name w:val="heading 4"/>
    <w:basedOn w:val="Normal"/>
    <w:next w:val="Normal"/>
    <w:link w:val="Heading4Char"/>
    <w:uiPriority w:val="9"/>
    <w:unhideWhenUsed/>
    <w:qFormat/>
    <w:rsid w:val="000C1135"/>
    <w:pPr>
      <w:keepNext/>
      <w:keepLines/>
      <w:numPr>
        <w:numId w:val="3"/>
      </w:numPr>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551"/>
    <w:rPr>
      <w:rFonts w:eastAsiaTheme="majorEastAsia" w:cstheme="majorBidi"/>
      <w:szCs w:val="32"/>
      <w:u w:val="single"/>
    </w:rPr>
  </w:style>
  <w:style w:type="character" w:customStyle="1" w:styleId="Heading2Char">
    <w:name w:val="Heading 2 Char"/>
    <w:basedOn w:val="DefaultParagraphFont"/>
    <w:link w:val="Heading2"/>
    <w:uiPriority w:val="9"/>
    <w:rsid w:val="00261682"/>
    <w:rPr>
      <w:rFonts w:eastAsiaTheme="majorEastAsia" w:cstheme="majorBidi"/>
      <w:b/>
      <w:szCs w:val="26"/>
      <w:u w:val="single"/>
    </w:rPr>
  </w:style>
  <w:style w:type="character" w:customStyle="1" w:styleId="Heading3Char">
    <w:name w:val="Heading 3 Char"/>
    <w:basedOn w:val="DefaultParagraphFont"/>
    <w:link w:val="Heading3"/>
    <w:uiPriority w:val="9"/>
    <w:rsid w:val="00261682"/>
    <w:rPr>
      <w:rFonts w:eastAsiaTheme="majorEastAsia" w:cstheme="majorBidi"/>
      <w:b/>
    </w:rPr>
  </w:style>
  <w:style w:type="character" w:customStyle="1" w:styleId="Heading4Char">
    <w:name w:val="Heading 4 Char"/>
    <w:basedOn w:val="DefaultParagraphFont"/>
    <w:link w:val="Heading4"/>
    <w:uiPriority w:val="9"/>
    <w:rsid w:val="000C1135"/>
    <w:rPr>
      <w:rFonts w:ascii="Century Schoolbook" w:eastAsiaTheme="majorEastAsia" w:hAnsi="Century Schoolbook" w:cstheme="majorBidi"/>
      <w:iCs/>
      <w:sz w:val="24"/>
      <w:szCs w:val="24"/>
    </w:rPr>
  </w:style>
  <w:style w:type="paragraph" w:styleId="TOCHeading">
    <w:name w:val="TOC Heading"/>
    <w:basedOn w:val="Heading1"/>
    <w:next w:val="Normal"/>
    <w:uiPriority w:val="39"/>
    <w:unhideWhenUsed/>
    <w:qFormat/>
    <w:rsid w:val="00DC78D8"/>
    <w:pPr>
      <w:spacing w:line="259" w:lineRule="auto"/>
      <w:jc w:val="left"/>
      <w:outlineLvl w:val="9"/>
    </w:pPr>
    <w:rPr>
      <w:rFonts w:asciiTheme="majorHAnsi" w:hAnsiTheme="majorHAnsi"/>
      <w:color w:val="365F91" w:themeColor="accent1" w:themeShade="BF"/>
      <w:sz w:val="32"/>
      <w:u w:val="none"/>
    </w:rPr>
  </w:style>
  <w:style w:type="paragraph" w:styleId="TOC1">
    <w:name w:val="toc 1"/>
    <w:basedOn w:val="Normal"/>
    <w:next w:val="Normal"/>
    <w:autoRedefine/>
    <w:uiPriority w:val="39"/>
    <w:unhideWhenUsed/>
    <w:rsid w:val="00A73157"/>
    <w:pPr>
      <w:spacing w:after="100"/>
    </w:pPr>
  </w:style>
  <w:style w:type="paragraph" w:styleId="TOC2">
    <w:name w:val="toc 2"/>
    <w:basedOn w:val="Normal"/>
    <w:next w:val="Normal"/>
    <w:autoRedefine/>
    <w:uiPriority w:val="39"/>
    <w:unhideWhenUsed/>
    <w:rsid w:val="002C77A8"/>
    <w:pPr>
      <w:tabs>
        <w:tab w:val="left" w:pos="720"/>
        <w:tab w:val="right" w:leader="dot" w:pos="9350"/>
      </w:tabs>
      <w:spacing w:after="100"/>
      <w:ind w:left="720" w:hanging="480"/>
    </w:pPr>
  </w:style>
  <w:style w:type="paragraph" w:styleId="TOC3">
    <w:name w:val="toc 3"/>
    <w:basedOn w:val="Normal"/>
    <w:next w:val="Normal"/>
    <w:autoRedefine/>
    <w:uiPriority w:val="39"/>
    <w:unhideWhenUsed/>
    <w:rsid w:val="002C77A8"/>
    <w:pPr>
      <w:tabs>
        <w:tab w:val="left" w:pos="1100"/>
        <w:tab w:val="right" w:leader="dot" w:pos="9350"/>
      </w:tabs>
      <w:spacing w:after="100"/>
      <w:ind w:left="1170" w:hanging="690"/>
    </w:pPr>
  </w:style>
  <w:style w:type="character" w:styleId="Hyperlink">
    <w:name w:val="Hyperlink"/>
    <w:basedOn w:val="DefaultParagraphFont"/>
    <w:uiPriority w:val="99"/>
    <w:unhideWhenUsed/>
    <w:rsid w:val="00DC78D8"/>
    <w:rPr>
      <w:color w:val="0000FF" w:themeColor="hyperlink"/>
      <w:u w:val="single"/>
    </w:rPr>
  </w:style>
  <w:style w:type="paragraph" w:styleId="TOC4">
    <w:name w:val="toc 4"/>
    <w:basedOn w:val="Normal"/>
    <w:next w:val="Normal"/>
    <w:autoRedefine/>
    <w:uiPriority w:val="39"/>
    <w:unhideWhenUsed/>
    <w:rsid w:val="00DC78D8"/>
    <w:pPr>
      <w:spacing w:after="100"/>
      <w:ind w:left="720"/>
    </w:pPr>
  </w:style>
  <w:style w:type="paragraph" w:styleId="Header">
    <w:name w:val="header"/>
    <w:basedOn w:val="Normal"/>
    <w:link w:val="HeaderChar"/>
    <w:uiPriority w:val="99"/>
    <w:unhideWhenUsed/>
    <w:rsid w:val="00DC78D8"/>
    <w:pPr>
      <w:tabs>
        <w:tab w:val="center" w:pos="4680"/>
        <w:tab w:val="right" w:pos="9360"/>
      </w:tabs>
    </w:pPr>
  </w:style>
  <w:style w:type="character" w:customStyle="1" w:styleId="HeaderChar">
    <w:name w:val="Header Char"/>
    <w:basedOn w:val="DefaultParagraphFont"/>
    <w:link w:val="Header"/>
    <w:uiPriority w:val="99"/>
    <w:rsid w:val="00DC78D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C78D8"/>
    <w:pPr>
      <w:tabs>
        <w:tab w:val="center" w:pos="4680"/>
        <w:tab w:val="right" w:pos="9360"/>
      </w:tabs>
    </w:pPr>
  </w:style>
  <w:style w:type="character" w:customStyle="1" w:styleId="FooterChar">
    <w:name w:val="Footer Char"/>
    <w:basedOn w:val="DefaultParagraphFont"/>
    <w:link w:val="Footer"/>
    <w:uiPriority w:val="99"/>
    <w:rsid w:val="00DC78D8"/>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E93551"/>
    <w:pPr>
      <w:ind w:firstLine="720"/>
    </w:pPr>
    <w:rPr>
      <w:rFonts w:cstheme="minorBidi"/>
      <w:sz w:val="20"/>
      <w:szCs w:val="20"/>
    </w:rPr>
  </w:style>
  <w:style w:type="character" w:customStyle="1" w:styleId="FootnoteTextChar">
    <w:name w:val="Footnote Text Char"/>
    <w:basedOn w:val="DefaultParagraphFont"/>
    <w:link w:val="FootnoteText"/>
    <w:uiPriority w:val="99"/>
    <w:rsid w:val="00E93551"/>
    <w:rPr>
      <w:rFonts w:cstheme="minorBidi"/>
      <w:sz w:val="20"/>
      <w:szCs w:val="20"/>
    </w:rPr>
  </w:style>
  <w:style w:type="character" w:styleId="FootnoteReference">
    <w:name w:val="footnote reference"/>
    <w:basedOn w:val="DefaultParagraphFont"/>
    <w:uiPriority w:val="99"/>
    <w:semiHidden/>
    <w:unhideWhenUsed/>
    <w:rsid w:val="00E93551"/>
    <w:rPr>
      <w:vertAlign w:val="superscript"/>
    </w:rPr>
  </w:style>
  <w:style w:type="character" w:styleId="CommentReference">
    <w:name w:val="annotation reference"/>
    <w:basedOn w:val="DefaultParagraphFont"/>
    <w:uiPriority w:val="99"/>
    <w:semiHidden/>
    <w:unhideWhenUsed/>
    <w:rsid w:val="00985595"/>
    <w:rPr>
      <w:sz w:val="16"/>
      <w:szCs w:val="16"/>
    </w:rPr>
  </w:style>
  <w:style w:type="paragraph" w:styleId="CommentText">
    <w:name w:val="annotation text"/>
    <w:basedOn w:val="Normal"/>
    <w:link w:val="CommentTextChar"/>
    <w:uiPriority w:val="99"/>
    <w:semiHidden/>
    <w:unhideWhenUsed/>
    <w:rsid w:val="00985595"/>
    <w:rPr>
      <w:sz w:val="20"/>
      <w:szCs w:val="20"/>
    </w:rPr>
  </w:style>
  <w:style w:type="character" w:customStyle="1" w:styleId="CommentTextChar">
    <w:name w:val="Comment Text Char"/>
    <w:basedOn w:val="DefaultParagraphFont"/>
    <w:link w:val="CommentText"/>
    <w:uiPriority w:val="99"/>
    <w:semiHidden/>
    <w:rsid w:val="00985595"/>
    <w:rPr>
      <w:sz w:val="20"/>
      <w:szCs w:val="20"/>
    </w:rPr>
  </w:style>
  <w:style w:type="paragraph" w:styleId="CommentSubject">
    <w:name w:val="annotation subject"/>
    <w:basedOn w:val="CommentText"/>
    <w:next w:val="CommentText"/>
    <w:link w:val="CommentSubjectChar"/>
    <w:uiPriority w:val="99"/>
    <w:semiHidden/>
    <w:unhideWhenUsed/>
    <w:rsid w:val="00985595"/>
    <w:rPr>
      <w:b/>
      <w:bCs/>
    </w:rPr>
  </w:style>
  <w:style w:type="character" w:customStyle="1" w:styleId="CommentSubjectChar">
    <w:name w:val="Comment Subject Char"/>
    <w:basedOn w:val="CommentTextChar"/>
    <w:link w:val="CommentSubject"/>
    <w:uiPriority w:val="99"/>
    <w:semiHidden/>
    <w:rsid w:val="00985595"/>
    <w:rPr>
      <w:b/>
      <w:bCs/>
      <w:sz w:val="20"/>
      <w:szCs w:val="20"/>
    </w:rPr>
  </w:style>
  <w:style w:type="paragraph" w:styleId="BalloonText">
    <w:name w:val="Balloon Text"/>
    <w:basedOn w:val="Normal"/>
    <w:link w:val="BalloonTextChar"/>
    <w:uiPriority w:val="99"/>
    <w:semiHidden/>
    <w:unhideWhenUsed/>
    <w:rsid w:val="00985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595"/>
    <w:rPr>
      <w:rFonts w:ascii="Segoe UI" w:hAnsi="Segoe UI" w:cs="Segoe UI"/>
      <w:sz w:val="18"/>
      <w:szCs w:val="18"/>
    </w:rPr>
  </w:style>
  <w:style w:type="paragraph" w:styleId="ListParagraph">
    <w:name w:val="List Paragraph"/>
    <w:basedOn w:val="Normal"/>
    <w:uiPriority w:val="34"/>
    <w:qFormat/>
    <w:rsid w:val="00261682"/>
    <w:pPr>
      <w:spacing w:line="480" w:lineRule="auto"/>
      <w:ind w:left="720" w:firstLine="720"/>
      <w:contextualSpacing/>
    </w:pPr>
    <w:rPr>
      <w:rFonts w:cstheme="minorBidi"/>
    </w:rPr>
  </w:style>
  <w:style w:type="character" w:customStyle="1" w:styleId="ssbf4">
    <w:name w:val="ss_bf4"/>
    <w:basedOn w:val="DefaultParagraphFont"/>
    <w:rsid w:val="00F66E4D"/>
    <w:rPr>
      <w:b/>
      <w:bCs/>
      <w:color w:val="373739"/>
    </w:rPr>
  </w:style>
  <w:style w:type="paragraph" w:styleId="TOAHeading">
    <w:name w:val="toa heading"/>
    <w:basedOn w:val="Normal"/>
    <w:next w:val="Normal"/>
    <w:uiPriority w:val="99"/>
    <w:unhideWhenUsed/>
    <w:rsid w:val="00BF041A"/>
    <w:pPr>
      <w:spacing w:before="240"/>
    </w:pPr>
    <w:rPr>
      <w:rFonts w:ascii="Times New Roman" w:hAnsi="Times New Roman"/>
      <w:b/>
      <w:bCs/>
      <w:iCs/>
      <w:u w:val="single"/>
    </w:rPr>
  </w:style>
  <w:style w:type="paragraph" w:styleId="TableofAuthorities">
    <w:name w:val="table of authorities"/>
    <w:basedOn w:val="Normal"/>
    <w:next w:val="Normal"/>
    <w:uiPriority w:val="99"/>
    <w:semiHidden/>
    <w:unhideWhenUsed/>
    <w:rsid w:val="00BF041A"/>
    <w:pPr>
      <w:spacing w:before="240"/>
      <w:ind w:left="240" w:hanging="2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657594">
      <w:bodyDiv w:val="1"/>
      <w:marLeft w:val="0"/>
      <w:marRight w:val="0"/>
      <w:marTop w:val="0"/>
      <w:marBottom w:val="0"/>
      <w:divBdr>
        <w:top w:val="none" w:sz="0" w:space="0" w:color="auto"/>
        <w:left w:val="none" w:sz="0" w:space="0" w:color="auto"/>
        <w:bottom w:val="none" w:sz="0" w:space="0" w:color="auto"/>
        <w:right w:val="none" w:sz="0" w:space="0" w:color="auto"/>
      </w:divBdr>
    </w:div>
    <w:div w:id="2023780966">
      <w:bodyDiv w:val="1"/>
      <w:marLeft w:val="0"/>
      <w:marRight w:val="0"/>
      <w:marTop w:val="0"/>
      <w:marBottom w:val="0"/>
      <w:divBdr>
        <w:top w:val="none" w:sz="0" w:space="0" w:color="auto"/>
        <w:left w:val="none" w:sz="0" w:space="0" w:color="auto"/>
        <w:bottom w:val="none" w:sz="0" w:space="0" w:color="auto"/>
        <w:right w:val="none" w:sz="0" w:space="0" w:color="auto"/>
      </w:divBdr>
      <w:divsChild>
        <w:div w:id="1089425670">
          <w:marLeft w:val="0"/>
          <w:marRight w:val="0"/>
          <w:marTop w:val="0"/>
          <w:marBottom w:val="0"/>
          <w:divBdr>
            <w:top w:val="none" w:sz="0" w:space="0" w:color="auto"/>
            <w:left w:val="none" w:sz="0" w:space="0" w:color="auto"/>
            <w:bottom w:val="none" w:sz="0" w:space="0" w:color="auto"/>
            <w:right w:val="none" w:sz="0" w:space="0" w:color="auto"/>
          </w:divBdr>
          <w:divsChild>
            <w:div w:id="8629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5399-F6D7-46C1-A284-E0D52FCF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8883</Words>
  <Characters>50634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2017-05-03T20:58:00Z</dcterms:created>
  <dcterms:modified xsi:type="dcterms:W3CDTF">2017-05-03T20:59:00Z</dcterms:modified>
</cp:coreProperties>
</file>