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9A3" w:rsidRDefault="007733E5" w:rsidP="004B4E15">
      <w:r>
        <w:rPr>
          <w:noProof/>
        </w:rPr>
        <w:drawing>
          <wp:anchor distT="57150" distB="57150" distL="57150" distR="57150" simplePos="0" relativeHeight="251657728" behindDoc="0" locked="0" layoutInCell="0" allowOverlap="1">
            <wp:simplePos x="0" y="0"/>
            <wp:positionH relativeFrom="margin">
              <wp:posOffset>-46355</wp:posOffset>
            </wp:positionH>
            <wp:positionV relativeFrom="margin">
              <wp:posOffset>-1301750</wp:posOffset>
            </wp:positionV>
            <wp:extent cx="954405" cy="783590"/>
            <wp:effectExtent l="19050" t="0" r="0" b="0"/>
            <wp:wrapSquare wrapText="bothSides"/>
            <wp:docPr id="2" name="Picture 2" descr="Department of Just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54405" cy="783590"/>
                    </a:xfrm>
                    <a:prstGeom prst="rect">
                      <a:avLst/>
                    </a:prstGeom>
                    <a:noFill/>
                    <a:ln w="9525">
                      <a:noFill/>
                      <a:miter lim="800000"/>
                      <a:headEnd/>
                      <a:tailEnd/>
                    </a:ln>
                  </pic:spPr>
                </pic:pic>
              </a:graphicData>
            </a:graphic>
          </wp:anchor>
        </w:drawing>
      </w:r>
      <w:r w:rsidR="00B52B08">
        <w:tab/>
      </w:r>
      <w:r w:rsidR="00B52B08">
        <w:tab/>
      </w:r>
      <w:r w:rsidR="00B52B08">
        <w:tab/>
      </w:r>
      <w:r w:rsidR="00B52B08">
        <w:tab/>
      </w:r>
      <w:r w:rsidR="00B52B08">
        <w:tab/>
      </w:r>
      <w:r w:rsidR="00B52B08">
        <w:tab/>
      </w:r>
      <w:r w:rsidR="00B52B08">
        <w:tab/>
      </w:r>
    </w:p>
    <w:p w:rsidR="00E379A3" w:rsidRDefault="00E379A3" w:rsidP="004B4E15">
      <w:r>
        <w:tab/>
      </w:r>
      <w:r>
        <w:tab/>
      </w:r>
      <w:r>
        <w:tab/>
      </w:r>
      <w:r>
        <w:tab/>
      </w:r>
      <w:r>
        <w:tab/>
      </w:r>
      <w:r>
        <w:tab/>
      </w:r>
      <w:r>
        <w:tab/>
      </w:r>
    </w:p>
    <w:p w:rsidR="004B4E15" w:rsidRPr="00375818" w:rsidRDefault="00E379A3" w:rsidP="00375818">
      <w:pPr>
        <w:pStyle w:val="Date"/>
      </w:pPr>
      <w:r>
        <w:tab/>
      </w:r>
      <w:r>
        <w:tab/>
      </w:r>
      <w:r>
        <w:tab/>
      </w:r>
      <w:r>
        <w:tab/>
      </w:r>
      <w:r>
        <w:tab/>
      </w:r>
      <w:r>
        <w:tab/>
      </w:r>
      <w:r>
        <w:tab/>
      </w:r>
      <w:r w:rsidR="00375818" w:rsidRPr="00375818">
        <w:t>June 16</w:t>
      </w:r>
      <w:r w:rsidR="008B0993" w:rsidRPr="00375818">
        <w:t>, 2015</w:t>
      </w:r>
    </w:p>
    <w:p w:rsidR="00B52B08" w:rsidRDefault="00B52B08" w:rsidP="004B4E15"/>
    <w:p w:rsidR="00B52B08" w:rsidRDefault="00B52B08" w:rsidP="004B4E15"/>
    <w:p w:rsidR="00B52B08" w:rsidRPr="00375818" w:rsidRDefault="00ED47A8" w:rsidP="00375818">
      <w:pPr>
        <w:pStyle w:val="EnvelopeAddress"/>
      </w:pPr>
      <w:r w:rsidRPr="00375818">
        <w:t>Susan A. Maher</w:t>
      </w:r>
    </w:p>
    <w:p w:rsidR="00ED47A8" w:rsidRPr="00375818" w:rsidRDefault="00ED47A8" w:rsidP="00375818">
      <w:pPr>
        <w:pStyle w:val="EnvelopeAddress"/>
      </w:pPr>
      <w:r w:rsidRPr="00375818">
        <w:t>Chief Assistant Attorney General</w:t>
      </w:r>
    </w:p>
    <w:p w:rsidR="00ED47A8" w:rsidRPr="00375818" w:rsidRDefault="00ED47A8" w:rsidP="00375818">
      <w:pPr>
        <w:pStyle w:val="EnvelopeAddress"/>
      </w:pPr>
      <w:r w:rsidRPr="00375818">
        <w:t>The Capitol, PL01</w:t>
      </w:r>
    </w:p>
    <w:p w:rsidR="00ED47A8" w:rsidRDefault="00ED47A8" w:rsidP="00375818">
      <w:pPr>
        <w:pStyle w:val="EnvelopeAddress"/>
      </w:pPr>
      <w:r w:rsidRPr="00375818">
        <w:t>Tallahassee, Florida  32399-1050</w:t>
      </w:r>
    </w:p>
    <w:p w:rsidR="00ED47A8" w:rsidRDefault="00ED47A8" w:rsidP="004B4E15"/>
    <w:p w:rsidR="00ED47A8" w:rsidRPr="00AA3FD0" w:rsidRDefault="00ED47A8" w:rsidP="00AA3FD0">
      <w:pPr>
        <w:pStyle w:val="Heading1"/>
      </w:pPr>
      <w:r>
        <w:t>Re:</w:t>
      </w:r>
      <w:r>
        <w:tab/>
      </w:r>
      <w:r w:rsidRPr="00AA3FD0">
        <w:t>DJ 204-17M-447</w:t>
      </w:r>
    </w:p>
    <w:p w:rsidR="00ED47A8" w:rsidRDefault="00ED47A8" w:rsidP="00AA3FD0">
      <w:pPr>
        <w:pStyle w:val="Heading1"/>
        <w:ind w:left="1440" w:firstLine="0"/>
      </w:pPr>
      <w:r w:rsidRPr="00AA3FD0">
        <w:t xml:space="preserve">Notice of </w:t>
      </w:r>
      <w:r w:rsidR="00B77D32" w:rsidRPr="00AA3FD0">
        <w:t xml:space="preserve">findings of </w:t>
      </w:r>
      <w:r w:rsidRPr="00AA3FD0">
        <w:t>non</w:t>
      </w:r>
      <w:r w:rsidR="00E379A3" w:rsidRPr="00AA3FD0">
        <w:t>-</w:t>
      </w:r>
      <w:r w:rsidRPr="00AA3FD0">
        <w:t xml:space="preserve">compliance with the obligation to cooperate with the Department of Justice </w:t>
      </w:r>
      <w:r w:rsidR="00D11110" w:rsidRPr="00AA3FD0">
        <w:t>compliance review</w:t>
      </w:r>
      <w:r w:rsidRPr="00AA3FD0">
        <w:t xml:space="preserve"> pursuant to Section 504 of the Rehabilitation Act of 1973</w:t>
      </w:r>
    </w:p>
    <w:p w:rsidR="00ED47A8" w:rsidRDefault="00ED47A8" w:rsidP="00ED47A8"/>
    <w:p w:rsidR="00ED47A8" w:rsidRPr="00AA3FD0" w:rsidRDefault="00ED47A8" w:rsidP="00AA3FD0">
      <w:pPr>
        <w:pStyle w:val="Salutation"/>
      </w:pPr>
      <w:r w:rsidRPr="00AA3FD0">
        <w:t>Dear Ms. Maher:</w:t>
      </w:r>
    </w:p>
    <w:p w:rsidR="00ED47A8" w:rsidRDefault="00ED47A8" w:rsidP="00ED47A8">
      <w:r>
        <w:tab/>
      </w:r>
    </w:p>
    <w:p w:rsidR="003F7F5C" w:rsidRDefault="00B77D32" w:rsidP="00ED47A8">
      <w:r>
        <w:tab/>
      </w:r>
      <w:r w:rsidR="00ED47A8">
        <w:t xml:space="preserve">This is to notify you that </w:t>
      </w:r>
      <w:r w:rsidR="00193704">
        <w:t xml:space="preserve">the U.S. Department of Justice, Civil Rights Division (Department) has determined that </w:t>
      </w:r>
      <w:r w:rsidR="00ED47A8">
        <w:t xml:space="preserve">the Florida Department of Corrections </w:t>
      </w:r>
      <w:r w:rsidR="00ED2944">
        <w:t xml:space="preserve">(Florida DOC) </w:t>
      </w:r>
      <w:r w:rsidR="00ED47A8">
        <w:t xml:space="preserve">is in </w:t>
      </w:r>
      <w:r w:rsidR="00E73080">
        <w:t>non-</w:t>
      </w:r>
      <w:r w:rsidR="00ED47A8">
        <w:t>compliance with its obligations under Section 504 of the Rehabilitation Act of 1</w:t>
      </w:r>
      <w:r w:rsidR="00CA3509">
        <w:t>9</w:t>
      </w:r>
      <w:r w:rsidR="00ED47A8">
        <w:t>73</w:t>
      </w:r>
      <w:r w:rsidR="00CA3509">
        <w:t xml:space="preserve"> </w:t>
      </w:r>
      <w:r w:rsidR="00A767D5">
        <w:t xml:space="preserve">(Section 504) </w:t>
      </w:r>
      <w:r w:rsidR="00CA3509">
        <w:rPr>
          <w:szCs w:val="24"/>
        </w:rPr>
        <w:t xml:space="preserve">to cooperate </w:t>
      </w:r>
      <w:r w:rsidR="00EA2DA3">
        <w:rPr>
          <w:szCs w:val="24"/>
        </w:rPr>
        <w:t>with</w:t>
      </w:r>
      <w:r w:rsidR="00CA3509">
        <w:rPr>
          <w:szCs w:val="24"/>
        </w:rPr>
        <w:t xml:space="preserve"> the </w:t>
      </w:r>
      <w:r w:rsidR="00193704">
        <w:rPr>
          <w:szCs w:val="24"/>
        </w:rPr>
        <w:t xml:space="preserve">Department’s </w:t>
      </w:r>
      <w:r w:rsidR="00CA3509">
        <w:rPr>
          <w:szCs w:val="24"/>
        </w:rPr>
        <w:t xml:space="preserve">investigation and compliance review of alleged disability discrimination </w:t>
      </w:r>
      <w:r w:rsidR="00CA3509">
        <w:t>at the Tomoka Correctional Institution</w:t>
      </w:r>
      <w:r w:rsidR="003F7F5C">
        <w:t xml:space="preserve"> (Tomoka)</w:t>
      </w:r>
      <w:r w:rsidR="00E73080">
        <w:t xml:space="preserve"> in Daytona Beach, Florida</w:t>
      </w:r>
      <w:r w:rsidR="00CA3509">
        <w:t xml:space="preserve">.  </w:t>
      </w:r>
      <w:r w:rsidR="004B646C">
        <w:t xml:space="preserve">In the event that </w:t>
      </w:r>
      <w:r w:rsidR="005A0B35">
        <w:t xml:space="preserve">the Department is </w:t>
      </w:r>
      <w:r w:rsidR="004B646C">
        <w:t>unable to reach a voluntary resolution with</w:t>
      </w:r>
      <w:r w:rsidR="00CA3509">
        <w:t xml:space="preserve"> </w:t>
      </w:r>
      <w:r w:rsidR="00E73080">
        <w:t xml:space="preserve">the </w:t>
      </w:r>
      <w:r w:rsidR="003F7F5C">
        <w:t xml:space="preserve">Florida </w:t>
      </w:r>
      <w:r w:rsidR="00ED2944">
        <w:t xml:space="preserve">DOC </w:t>
      </w:r>
      <w:r w:rsidR="003F7F5C">
        <w:t>within two weeks</w:t>
      </w:r>
      <w:r w:rsidR="00E73080">
        <w:t xml:space="preserve"> of the date of this letter</w:t>
      </w:r>
      <w:r w:rsidR="003F7F5C">
        <w:t xml:space="preserve">, the </w:t>
      </w:r>
      <w:r w:rsidR="004B646C">
        <w:t xml:space="preserve">Attorney General may </w:t>
      </w:r>
      <w:r w:rsidR="00927BB9">
        <w:t xml:space="preserve">elect to </w:t>
      </w:r>
      <w:r w:rsidR="004B646C">
        <w:t>initia</w:t>
      </w:r>
      <w:r w:rsidR="00F75686">
        <w:t xml:space="preserve">te a lawsuit pursuant to </w:t>
      </w:r>
      <w:r w:rsidR="003F7F5C">
        <w:t xml:space="preserve">Section 504 to compel access to the </w:t>
      </w:r>
      <w:r w:rsidR="00E73080">
        <w:t xml:space="preserve">Tomoka </w:t>
      </w:r>
      <w:r w:rsidR="003F7F5C">
        <w:t xml:space="preserve">facility, its </w:t>
      </w:r>
      <w:r w:rsidR="00E73080">
        <w:t xml:space="preserve">relevant </w:t>
      </w:r>
      <w:r w:rsidR="003F7F5C">
        <w:t xml:space="preserve">personnel, inmates, and documents.  </w:t>
      </w:r>
      <w:r w:rsidR="004B646C">
        <w:rPr>
          <w:rStyle w:val="Emphasis"/>
        </w:rPr>
        <w:t>See</w:t>
      </w:r>
      <w:r w:rsidR="004B646C">
        <w:t xml:space="preserve"> 42 U.S.C.  § 2000d-1.  We would prefer, however, to resolve this matter by working cooperatively with </w:t>
      </w:r>
      <w:r w:rsidR="00001C2C">
        <w:t>the Florida DOC</w:t>
      </w:r>
      <w:r w:rsidR="004B646C">
        <w:t>.</w:t>
      </w:r>
    </w:p>
    <w:p w:rsidR="003F7F5C" w:rsidRDefault="003F7F5C" w:rsidP="00ED47A8">
      <w:r>
        <w:tab/>
      </w:r>
    </w:p>
    <w:p w:rsidR="003F7F5C" w:rsidRPr="00AA3FD0" w:rsidRDefault="003F7F5C" w:rsidP="00AA3FD0">
      <w:pPr>
        <w:pStyle w:val="Heading2"/>
        <w:ind w:firstLine="0"/>
        <w:rPr>
          <w:b/>
        </w:rPr>
      </w:pPr>
      <w:r w:rsidRPr="00AA3FD0">
        <w:rPr>
          <w:b/>
        </w:rPr>
        <w:t>Background</w:t>
      </w:r>
      <w:r w:rsidR="00A87D37" w:rsidRPr="00AA3FD0">
        <w:rPr>
          <w:b/>
        </w:rPr>
        <w:t xml:space="preserve"> and Findings of Fact</w:t>
      </w:r>
    </w:p>
    <w:p w:rsidR="003F7F5C" w:rsidRDefault="003F7F5C" w:rsidP="00ED47A8"/>
    <w:p w:rsidR="00D21100" w:rsidRDefault="008B2C57" w:rsidP="00D21100">
      <w:pPr>
        <w:ind w:firstLine="720"/>
        <w:rPr>
          <w:szCs w:val="24"/>
        </w:rPr>
      </w:pPr>
      <w:r>
        <w:t>On June 26</w:t>
      </w:r>
      <w:r w:rsidR="003F7F5C">
        <w:t xml:space="preserve">, 2013, the Department notified Tomoka </w:t>
      </w:r>
      <w:r w:rsidR="007733E5">
        <w:t xml:space="preserve">via </w:t>
      </w:r>
      <w:r w:rsidR="00AF2682">
        <w:t xml:space="preserve">the enclosed </w:t>
      </w:r>
      <w:r w:rsidR="007733E5">
        <w:t xml:space="preserve">letter </w:t>
      </w:r>
      <w:r>
        <w:t>(</w:t>
      </w:r>
      <w:r w:rsidR="007733E5">
        <w:t xml:space="preserve">and </w:t>
      </w:r>
      <w:r>
        <w:t xml:space="preserve">via </w:t>
      </w:r>
      <w:r w:rsidR="007733E5">
        <w:t xml:space="preserve">e-mail </w:t>
      </w:r>
      <w:r>
        <w:t xml:space="preserve">on June 28, 2013) </w:t>
      </w:r>
      <w:r w:rsidR="003F7F5C">
        <w:t>that</w:t>
      </w:r>
      <w:r w:rsidR="000F643C">
        <w:t xml:space="preserve"> it was conducting a</w:t>
      </w:r>
      <w:r w:rsidR="000F643C">
        <w:rPr>
          <w:szCs w:val="24"/>
        </w:rPr>
        <w:t xml:space="preserve"> compliance review to determine whether Tomoka is in violation of Section 504 of the Rehabilitation Act of 1973, 29 U.S.C. § 794, and the Department's implementing regulation</w:t>
      </w:r>
      <w:r w:rsidR="00F75686">
        <w:rPr>
          <w:szCs w:val="24"/>
        </w:rPr>
        <w:t>s</w:t>
      </w:r>
      <w:r w:rsidR="000F643C">
        <w:rPr>
          <w:szCs w:val="24"/>
        </w:rPr>
        <w:t xml:space="preserve">, 28 C.F.R. </w:t>
      </w:r>
      <w:r w:rsidR="004E3938">
        <w:rPr>
          <w:szCs w:val="24"/>
        </w:rPr>
        <w:t xml:space="preserve">Parts 41 and </w:t>
      </w:r>
      <w:r w:rsidR="000F643C">
        <w:rPr>
          <w:szCs w:val="24"/>
        </w:rPr>
        <w:t>Part 42, Subpart G</w:t>
      </w:r>
      <w:r w:rsidR="00B50E58">
        <w:rPr>
          <w:szCs w:val="24"/>
        </w:rPr>
        <w:t xml:space="preserve">, </w:t>
      </w:r>
      <w:r w:rsidR="00E924CB">
        <w:rPr>
          <w:szCs w:val="24"/>
        </w:rPr>
        <w:t>which apply</w:t>
      </w:r>
      <w:r w:rsidR="00990B67">
        <w:rPr>
          <w:szCs w:val="24"/>
        </w:rPr>
        <w:t xml:space="preserve"> </w:t>
      </w:r>
      <w:r w:rsidR="00B50E58">
        <w:rPr>
          <w:szCs w:val="24"/>
        </w:rPr>
        <w:t xml:space="preserve">because the Department provides </w:t>
      </w:r>
      <w:r w:rsidR="00174804">
        <w:rPr>
          <w:szCs w:val="24"/>
        </w:rPr>
        <w:t xml:space="preserve">Federal </w:t>
      </w:r>
      <w:r w:rsidR="0098674A">
        <w:rPr>
          <w:szCs w:val="24"/>
        </w:rPr>
        <w:t>financial assistance to the Florida DOC.</w:t>
      </w:r>
      <w:r w:rsidR="00A87D37">
        <w:rPr>
          <w:rStyle w:val="FootnoteReference"/>
          <w:szCs w:val="24"/>
        </w:rPr>
        <w:footnoteReference w:id="1"/>
      </w:r>
      <w:r w:rsidR="000F643C">
        <w:rPr>
          <w:szCs w:val="24"/>
        </w:rPr>
        <w:t xml:space="preserve"> </w:t>
      </w:r>
      <w:r w:rsidR="00AF2682">
        <w:rPr>
          <w:szCs w:val="24"/>
        </w:rPr>
        <w:t xml:space="preserve"> </w:t>
      </w:r>
      <w:r w:rsidR="009C2D05">
        <w:rPr>
          <w:szCs w:val="24"/>
        </w:rPr>
        <w:t xml:space="preserve">The Department </w:t>
      </w:r>
      <w:r w:rsidR="00D21100">
        <w:rPr>
          <w:szCs w:val="24"/>
        </w:rPr>
        <w:t xml:space="preserve">initiated </w:t>
      </w:r>
      <w:r w:rsidR="00480239">
        <w:rPr>
          <w:szCs w:val="24"/>
        </w:rPr>
        <w:t xml:space="preserve">its request for </w:t>
      </w:r>
      <w:r w:rsidR="00D21100">
        <w:rPr>
          <w:szCs w:val="24"/>
        </w:rPr>
        <w:t xml:space="preserve">the </w:t>
      </w:r>
      <w:r w:rsidR="009C2D05">
        <w:rPr>
          <w:szCs w:val="24"/>
        </w:rPr>
        <w:t xml:space="preserve">compliance review </w:t>
      </w:r>
      <w:r w:rsidR="00D21100">
        <w:rPr>
          <w:szCs w:val="24"/>
        </w:rPr>
        <w:t xml:space="preserve">in response to multiple complaints that </w:t>
      </w:r>
      <w:r w:rsidR="00A05622">
        <w:rPr>
          <w:szCs w:val="24"/>
        </w:rPr>
        <w:t xml:space="preserve">it received </w:t>
      </w:r>
      <w:r w:rsidR="00D21100">
        <w:rPr>
          <w:szCs w:val="24"/>
        </w:rPr>
        <w:t>alleg</w:t>
      </w:r>
      <w:r w:rsidR="00A05622">
        <w:rPr>
          <w:szCs w:val="24"/>
        </w:rPr>
        <w:t>ing</w:t>
      </w:r>
      <w:r w:rsidR="00D21100">
        <w:rPr>
          <w:szCs w:val="24"/>
        </w:rPr>
        <w:t xml:space="preserve"> </w:t>
      </w:r>
      <w:r w:rsidR="00D21100" w:rsidRPr="00C76D73">
        <w:rPr>
          <w:szCs w:val="24"/>
        </w:rPr>
        <w:t>that Tomoka</w:t>
      </w:r>
      <w:r w:rsidR="00D21100">
        <w:rPr>
          <w:szCs w:val="24"/>
        </w:rPr>
        <w:t xml:space="preserve"> </w:t>
      </w:r>
      <w:r w:rsidR="00D21100" w:rsidRPr="00C76D73">
        <w:rPr>
          <w:szCs w:val="24"/>
        </w:rPr>
        <w:t xml:space="preserve">does not ensure effective communication for inmates </w:t>
      </w:r>
      <w:r w:rsidR="00990B67">
        <w:rPr>
          <w:szCs w:val="24"/>
        </w:rPr>
        <w:t xml:space="preserve">with hearing and vision disabilities, </w:t>
      </w:r>
      <w:r w:rsidR="00D21100" w:rsidRPr="00C76D73">
        <w:rPr>
          <w:szCs w:val="24"/>
        </w:rPr>
        <w:t>a</w:t>
      </w:r>
      <w:r w:rsidR="00990B67">
        <w:rPr>
          <w:szCs w:val="24"/>
        </w:rPr>
        <w:t>nd that Tomoka fails</w:t>
      </w:r>
      <w:r w:rsidR="00D21100" w:rsidRPr="00C76D73">
        <w:rPr>
          <w:szCs w:val="24"/>
        </w:rPr>
        <w:t xml:space="preserve"> to provide appropriate auxiliary aids and services</w:t>
      </w:r>
      <w:r w:rsidR="00990B67">
        <w:rPr>
          <w:szCs w:val="24"/>
        </w:rPr>
        <w:t xml:space="preserve"> to inmates with disabilities</w:t>
      </w:r>
      <w:r w:rsidR="00D21100" w:rsidRPr="00C76D73">
        <w:rPr>
          <w:szCs w:val="24"/>
        </w:rPr>
        <w:t xml:space="preserve">.  </w:t>
      </w:r>
    </w:p>
    <w:p w:rsidR="00990B67" w:rsidRDefault="00990B67" w:rsidP="00D21100">
      <w:pPr>
        <w:ind w:firstLine="720"/>
        <w:rPr>
          <w:szCs w:val="24"/>
        </w:rPr>
      </w:pPr>
    </w:p>
    <w:p w:rsidR="009952DB" w:rsidRDefault="00474D4C" w:rsidP="009952DB">
      <w:pPr>
        <w:ind w:firstLine="720"/>
        <w:rPr>
          <w:szCs w:val="24"/>
        </w:rPr>
      </w:pPr>
      <w:r>
        <w:rPr>
          <w:szCs w:val="24"/>
        </w:rPr>
        <w:t xml:space="preserve">By </w:t>
      </w:r>
      <w:r w:rsidR="00397D8C">
        <w:rPr>
          <w:szCs w:val="24"/>
        </w:rPr>
        <w:t xml:space="preserve">the enclosed </w:t>
      </w:r>
      <w:r>
        <w:rPr>
          <w:szCs w:val="24"/>
        </w:rPr>
        <w:t>letter dated September 19, 2013, you advised that the Office of the Florida Attorney General w</w:t>
      </w:r>
      <w:r w:rsidR="000B7A9E">
        <w:rPr>
          <w:szCs w:val="24"/>
        </w:rPr>
        <w:t>ou</w:t>
      </w:r>
      <w:r>
        <w:rPr>
          <w:szCs w:val="24"/>
        </w:rPr>
        <w:t>l</w:t>
      </w:r>
      <w:r w:rsidR="000B7A9E">
        <w:rPr>
          <w:szCs w:val="24"/>
        </w:rPr>
        <w:t>d</w:t>
      </w:r>
      <w:r>
        <w:rPr>
          <w:szCs w:val="24"/>
        </w:rPr>
        <w:t xml:space="preserve"> represent Tomoka in this</w:t>
      </w:r>
      <w:r w:rsidR="00DA00F8">
        <w:rPr>
          <w:szCs w:val="24"/>
        </w:rPr>
        <w:t xml:space="preserve"> matter</w:t>
      </w:r>
      <w:r w:rsidR="00EA2DA3">
        <w:rPr>
          <w:szCs w:val="24"/>
        </w:rPr>
        <w:t>;</w:t>
      </w:r>
      <w:r w:rsidR="00A05622">
        <w:rPr>
          <w:szCs w:val="24"/>
        </w:rPr>
        <w:t xml:space="preserve"> y</w:t>
      </w:r>
      <w:r w:rsidR="00DA00F8">
        <w:rPr>
          <w:szCs w:val="24"/>
        </w:rPr>
        <w:t xml:space="preserve">ou </w:t>
      </w:r>
      <w:r w:rsidR="00134456">
        <w:rPr>
          <w:szCs w:val="24"/>
        </w:rPr>
        <w:t xml:space="preserve">asked if the compliance review </w:t>
      </w:r>
      <w:r w:rsidR="00A05622">
        <w:rPr>
          <w:szCs w:val="24"/>
        </w:rPr>
        <w:t>was</w:t>
      </w:r>
      <w:r w:rsidR="00134456">
        <w:rPr>
          <w:szCs w:val="24"/>
        </w:rPr>
        <w:t xml:space="preserve"> prompted by individual complaints</w:t>
      </w:r>
      <w:r w:rsidR="00EA2DA3">
        <w:rPr>
          <w:szCs w:val="24"/>
        </w:rPr>
        <w:t>;</w:t>
      </w:r>
      <w:r w:rsidR="00134456">
        <w:rPr>
          <w:szCs w:val="24"/>
        </w:rPr>
        <w:t xml:space="preserve"> and </w:t>
      </w:r>
      <w:r w:rsidR="00990B67">
        <w:rPr>
          <w:szCs w:val="24"/>
        </w:rPr>
        <w:t xml:space="preserve">you </w:t>
      </w:r>
      <w:r w:rsidR="00134456">
        <w:rPr>
          <w:szCs w:val="24"/>
        </w:rPr>
        <w:t xml:space="preserve">requested </w:t>
      </w:r>
      <w:r w:rsidR="00A05622">
        <w:rPr>
          <w:szCs w:val="24"/>
        </w:rPr>
        <w:t>information regarding the underlying</w:t>
      </w:r>
      <w:r w:rsidR="00134456">
        <w:rPr>
          <w:szCs w:val="24"/>
        </w:rPr>
        <w:t xml:space="preserve"> complaints.  </w:t>
      </w:r>
      <w:r w:rsidR="009952DB">
        <w:rPr>
          <w:szCs w:val="24"/>
        </w:rPr>
        <w:t xml:space="preserve">In this letter, you also indicated that the Florida DOC would not </w:t>
      </w:r>
      <w:r w:rsidR="00480239">
        <w:rPr>
          <w:szCs w:val="24"/>
        </w:rPr>
        <w:t xml:space="preserve">consent to </w:t>
      </w:r>
      <w:r w:rsidR="009952DB">
        <w:rPr>
          <w:szCs w:val="24"/>
        </w:rPr>
        <w:t xml:space="preserve">an on-site visit until the Department provided its legal authority to justify its compliance review.  In your September </w:t>
      </w:r>
      <w:r w:rsidR="00EA2DA3">
        <w:rPr>
          <w:szCs w:val="24"/>
        </w:rPr>
        <w:t xml:space="preserve">19, 2013, </w:t>
      </w:r>
      <w:r w:rsidR="009952DB">
        <w:rPr>
          <w:szCs w:val="24"/>
        </w:rPr>
        <w:t xml:space="preserve">correspondence, you </w:t>
      </w:r>
      <w:r w:rsidR="00AD6E79">
        <w:rPr>
          <w:szCs w:val="24"/>
        </w:rPr>
        <w:t xml:space="preserve">also </w:t>
      </w:r>
      <w:r w:rsidR="009952DB">
        <w:rPr>
          <w:szCs w:val="24"/>
        </w:rPr>
        <w:t xml:space="preserve">enclosed documents that the Department had requested, including policies and procedures pertaining to inmates with disabilities, the orientation handbook for inmate assistance, and the policy and procedure for assignment of inmate assistants.  You also </w:t>
      </w:r>
      <w:r w:rsidR="009952DB" w:rsidRPr="0034330B">
        <w:rPr>
          <w:szCs w:val="24"/>
        </w:rPr>
        <w:t xml:space="preserve">indicated that </w:t>
      </w:r>
      <w:r w:rsidR="009952DB">
        <w:rPr>
          <w:szCs w:val="24"/>
        </w:rPr>
        <w:t>the</w:t>
      </w:r>
      <w:r w:rsidR="009952DB" w:rsidRPr="0034330B">
        <w:rPr>
          <w:szCs w:val="24"/>
        </w:rPr>
        <w:t xml:space="preserve"> </w:t>
      </w:r>
      <w:r w:rsidR="009952DB">
        <w:rPr>
          <w:szCs w:val="24"/>
        </w:rPr>
        <w:t xml:space="preserve">Florida DOC </w:t>
      </w:r>
      <w:r w:rsidR="009952DB" w:rsidRPr="0034330B">
        <w:rPr>
          <w:szCs w:val="24"/>
        </w:rPr>
        <w:t>would provide the Department</w:t>
      </w:r>
      <w:r w:rsidR="009952DB">
        <w:rPr>
          <w:szCs w:val="24"/>
        </w:rPr>
        <w:t xml:space="preserve"> with</w:t>
      </w:r>
      <w:r w:rsidR="009952DB" w:rsidRPr="0034330B">
        <w:rPr>
          <w:szCs w:val="24"/>
        </w:rPr>
        <w:t xml:space="preserve"> “any public record documentation” but </w:t>
      </w:r>
      <w:r w:rsidR="009952DB">
        <w:rPr>
          <w:szCs w:val="24"/>
        </w:rPr>
        <w:t xml:space="preserve">would </w:t>
      </w:r>
      <w:r w:rsidR="009952DB" w:rsidRPr="0034330B">
        <w:rPr>
          <w:szCs w:val="24"/>
        </w:rPr>
        <w:t xml:space="preserve">not </w:t>
      </w:r>
      <w:r w:rsidR="009952DB">
        <w:rPr>
          <w:szCs w:val="24"/>
        </w:rPr>
        <w:t xml:space="preserve">disclose </w:t>
      </w:r>
      <w:r w:rsidR="009952DB" w:rsidRPr="0034330B">
        <w:rPr>
          <w:szCs w:val="24"/>
        </w:rPr>
        <w:t xml:space="preserve">any confidential information.  </w:t>
      </w:r>
      <w:r w:rsidR="009952DB">
        <w:rPr>
          <w:szCs w:val="24"/>
        </w:rPr>
        <w:t>Finally, you advised the Department that its</w:t>
      </w:r>
      <w:r w:rsidR="009952DB" w:rsidRPr="0034330B">
        <w:rPr>
          <w:szCs w:val="24"/>
        </w:rPr>
        <w:t xml:space="preserve"> requests to interview inmates would be handled under the Florida DOC’s rule regarding </w:t>
      </w:r>
      <w:r w:rsidR="002409C6" w:rsidRPr="002409C6">
        <w:rPr>
          <w:i/>
          <w:szCs w:val="24"/>
        </w:rPr>
        <w:t>Special Visits</w:t>
      </w:r>
      <w:r w:rsidR="009952DB" w:rsidRPr="0034330B">
        <w:rPr>
          <w:szCs w:val="24"/>
        </w:rPr>
        <w:t xml:space="preserve"> and </w:t>
      </w:r>
      <w:r w:rsidR="009952DB">
        <w:rPr>
          <w:szCs w:val="24"/>
        </w:rPr>
        <w:t xml:space="preserve">you </w:t>
      </w:r>
      <w:r w:rsidR="009952DB" w:rsidRPr="0034330B">
        <w:rPr>
          <w:szCs w:val="24"/>
        </w:rPr>
        <w:t xml:space="preserve">would </w:t>
      </w:r>
      <w:r w:rsidR="009952DB">
        <w:rPr>
          <w:szCs w:val="24"/>
        </w:rPr>
        <w:t xml:space="preserve">coordinate all inmate interview </w:t>
      </w:r>
      <w:r w:rsidR="009952DB" w:rsidRPr="0034330B">
        <w:rPr>
          <w:szCs w:val="24"/>
        </w:rPr>
        <w:t xml:space="preserve">requests.  </w:t>
      </w:r>
    </w:p>
    <w:p w:rsidR="00A05622" w:rsidRDefault="00A05622" w:rsidP="00ED47A8">
      <w:pPr>
        <w:ind w:firstLine="720"/>
        <w:rPr>
          <w:szCs w:val="24"/>
        </w:rPr>
      </w:pPr>
    </w:p>
    <w:p w:rsidR="00990B67" w:rsidRDefault="009952DB" w:rsidP="00ED47A8">
      <w:pPr>
        <w:ind w:firstLine="720"/>
      </w:pPr>
      <w:r>
        <w:rPr>
          <w:szCs w:val="24"/>
        </w:rPr>
        <w:t xml:space="preserve">On November 5, 2013, the Department </w:t>
      </w:r>
      <w:r w:rsidR="00751D14">
        <w:rPr>
          <w:szCs w:val="24"/>
        </w:rPr>
        <w:t>responded</w:t>
      </w:r>
      <w:r>
        <w:rPr>
          <w:szCs w:val="24"/>
        </w:rPr>
        <w:t xml:space="preserve"> to your September 19, 2013</w:t>
      </w:r>
      <w:r w:rsidR="00990B67">
        <w:rPr>
          <w:szCs w:val="24"/>
        </w:rPr>
        <w:t xml:space="preserve">, </w:t>
      </w:r>
      <w:r>
        <w:rPr>
          <w:szCs w:val="24"/>
        </w:rPr>
        <w:t xml:space="preserve">letter.  The Department’s </w:t>
      </w:r>
      <w:r w:rsidR="00397D8C">
        <w:rPr>
          <w:szCs w:val="24"/>
        </w:rPr>
        <w:t xml:space="preserve">enclosed </w:t>
      </w:r>
      <w:r>
        <w:rPr>
          <w:szCs w:val="24"/>
        </w:rPr>
        <w:t xml:space="preserve">letter advised that the Department had received complaints that alleged that Tomoka </w:t>
      </w:r>
      <w:r w:rsidRPr="00C76D73">
        <w:rPr>
          <w:szCs w:val="24"/>
        </w:rPr>
        <w:t xml:space="preserve">does not adequately ensure effective communication for inmates who </w:t>
      </w:r>
      <w:r w:rsidR="00990B67">
        <w:rPr>
          <w:szCs w:val="24"/>
        </w:rPr>
        <w:t xml:space="preserve">have hearing or vision disabilities, and that Tomoka fails </w:t>
      </w:r>
      <w:r w:rsidRPr="00C76D73">
        <w:rPr>
          <w:szCs w:val="24"/>
        </w:rPr>
        <w:t>to provide appropriate auxiliary aids and services</w:t>
      </w:r>
      <w:r w:rsidR="00990B67">
        <w:rPr>
          <w:szCs w:val="24"/>
        </w:rPr>
        <w:t xml:space="preserve"> to inmates with disabilities</w:t>
      </w:r>
      <w:r>
        <w:rPr>
          <w:szCs w:val="24"/>
        </w:rPr>
        <w:t>.  In its November 5, 2013</w:t>
      </w:r>
      <w:r w:rsidR="00EA2DA3">
        <w:rPr>
          <w:szCs w:val="24"/>
        </w:rPr>
        <w:t>,</w:t>
      </w:r>
      <w:r>
        <w:rPr>
          <w:szCs w:val="24"/>
        </w:rPr>
        <w:t xml:space="preserve"> response, the Department also outlined </w:t>
      </w:r>
      <w:r w:rsidR="00990B67">
        <w:rPr>
          <w:szCs w:val="24"/>
        </w:rPr>
        <w:t>the</w:t>
      </w:r>
      <w:r>
        <w:rPr>
          <w:szCs w:val="24"/>
        </w:rPr>
        <w:t xml:space="preserve"> specific statutory and regulatory authorit</w:t>
      </w:r>
      <w:r w:rsidR="00593916">
        <w:rPr>
          <w:szCs w:val="24"/>
        </w:rPr>
        <w:t>ies</w:t>
      </w:r>
      <w:r>
        <w:rPr>
          <w:szCs w:val="24"/>
        </w:rPr>
        <w:t xml:space="preserve"> that </w:t>
      </w:r>
      <w:r w:rsidR="00593916">
        <w:rPr>
          <w:szCs w:val="24"/>
        </w:rPr>
        <w:t>authorize</w:t>
      </w:r>
      <w:r>
        <w:rPr>
          <w:szCs w:val="24"/>
        </w:rPr>
        <w:t xml:space="preserve"> the Department to conduct on-site inspections of fac</w:t>
      </w:r>
      <w:r w:rsidR="00F75686">
        <w:rPr>
          <w:szCs w:val="24"/>
        </w:rPr>
        <w:t xml:space="preserve">ilities covered by </w:t>
      </w:r>
      <w:r>
        <w:rPr>
          <w:szCs w:val="24"/>
        </w:rPr>
        <w:t xml:space="preserve">Section 504.  The Department’s November </w:t>
      </w:r>
      <w:r w:rsidR="00EA2DA3">
        <w:rPr>
          <w:szCs w:val="24"/>
        </w:rPr>
        <w:t xml:space="preserve">5, </w:t>
      </w:r>
      <w:r>
        <w:rPr>
          <w:szCs w:val="24"/>
        </w:rPr>
        <w:t>2013</w:t>
      </w:r>
      <w:r w:rsidR="00EA2DA3">
        <w:rPr>
          <w:szCs w:val="24"/>
        </w:rPr>
        <w:t>,</w:t>
      </w:r>
      <w:r>
        <w:rPr>
          <w:szCs w:val="24"/>
        </w:rPr>
        <w:t xml:space="preserve"> response reiterated its request to conduct an on-site inspection at Tomoka.  Neither you nor anyone at Tomoka or </w:t>
      </w:r>
      <w:r w:rsidR="007F27E7">
        <w:rPr>
          <w:szCs w:val="24"/>
        </w:rPr>
        <w:t xml:space="preserve">the </w:t>
      </w:r>
      <w:r>
        <w:rPr>
          <w:szCs w:val="24"/>
        </w:rPr>
        <w:t>Florida DOC has responded to the Department’s November 5, 2013</w:t>
      </w:r>
      <w:r w:rsidR="00990B67">
        <w:rPr>
          <w:szCs w:val="24"/>
        </w:rPr>
        <w:t>,</w:t>
      </w:r>
      <w:r>
        <w:rPr>
          <w:szCs w:val="24"/>
        </w:rPr>
        <w:t xml:space="preserve"> correspondence.  </w:t>
      </w:r>
      <w:r w:rsidR="00751D14">
        <w:rPr>
          <w:szCs w:val="24"/>
        </w:rPr>
        <w:t>T</w:t>
      </w:r>
      <w:r>
        <w:rPr>
          <w:szCs w:val="24"/>
        </w:rPr>
        <w:t>he Department has made</w:t>
      </w:r>
      <w:r w:rsidR="00B05C5C">
        <w:rPr>
          <w:szCs w:val="24"/>
        </w:rPr>
        <w:t xml:space="preserve"> seven</w:t>
      </w:r>
      <w:r>
        <w:rPr>
          <w:szCs w:val="24"/>
        </w:rPr>
        <w:t xml:space="preserve"> </w:t>
      </w:r>
      <w:r w:rsidR="00B05C5C">
        <w:rPr>
          <w:szCs w:val="24"/>
        </w:rPr>
        <w:t>attempts to schedule a</w:t>
      </w:r>
      <w:r>
        <w:rPr>
          <w:szCs w:val="24"/>
        </w:rPr>
        <w:t>n on-site visit</w:t>
      </w:r>
      <w:r w:rsidR="00B05C5C">
        <w:rPr>
          <w:szCs w:val="24"/>
        </w:rPr>
        <w:t xml:space="preserve"> at Tomoka with </w:t>
      </w:r>
      <w:r w:rsidR="007F27E7">
        <w:rPr>
          <w:szCs w:val="24"/>
        </w:rPr>
        <w:t xml:space="preserve">the </w:t>
      </w:r>
      <w:r w:rsidR="00B05C5C">
        <w:rPr>
          <w:szCs w:val="24"/>
        </w:rPr>
        <w:t>Florida DOC, mo</w:t>
      </w:r>
      <w:r>
        <w:rPr>
          <w:szCs w:val="24"/>
        </w:rPr>
        <w:t xml:space="preserve">st recently </w:t>
      </w:r>
      <w:r w:rsidR="00B05C5C">
        <w:rPr>
          <w:szCs w:val="24"/>
        </w:rPr>
        <w:t xml:space="preserve">via e-mail </w:t>
      </w:r>
      <w:r>
        <w:rPr>
          <w:szCs w:val="24"/>
        </w:rPr>
        <w:t xml:space="preserve">on April 23, 2014.  Tomoka and </w:t>
      </w:r>
      <w:r w:rsidR="007F27E7">
        <w:rPr>
          <w:szCs w:val="24"/>
        </w:rPr>
        <w:t xml:space="preserve">the </w:t>
      </w:r>
      <w:r>
        <w:rPr>
          <w:szCs w:val="24"/>
        </w:rPr>
        <w:t>Florida DOC ha</w:t>
      </w:r>
      <w:r w:rsidR="00990B67">
        <w:rPr>
          <w:szCs w:val="24"/>
        </w:rPr>
        <w:t>ve</w:t>
      </w:r>
      <w:r>
        <w:rPr>
          <w:szCs w:val="24"/>
        </w:rPr>
        <w:t xml:space="preserve"> ignored </w:t>
      </w:r>
      <w:r w:rsidR="00E83D53">
        <w:rPr>
          <w:szCs w:val="24"/>
        </w:rPr>
        <w:t>each</w:t>
      </w:r>
      <w:r>
        <w:rPr>
          <w:szCs w:val="24"/>
        </w:rPr>
        <w:t xml:space="preserve"> of the Department’s requests since November 2013 to conduct an on-site compliance review.  </w:t>
      </w:r>
      <w:r w:rsidR="00ED47A8">
        <w:tab/>
      </w:r>
    </w:p>
    <w:p w:rsidR="00E516DB" w:rsidRDefault="00E516DB">
      <w:pPr>
        <w:ind w:firstLine="720"/>
        <w:rPr>
          <w:szCs w:val="24"/>
        </w:rPr>
      </w:pPr>
    </w:p>
    <w:p w:rsidR="0098674A" w:rsidRDefault="0098674A" w:rsidP="00ED47A8">
      <w:pPr>
        <w:ind w:firstLine="720"/>
        <w:sectPr w:rsidR="0098674A" w:rsidSect="00397D8C">
          <w:headerReference w:type="even" r:id="rId9"/>
          <w:headerReference w:type="default" r:id="rId10"/>
          <w:footerReference w:type="even" r:id="rId11"/>
          <w:footerReference w:type="default" r:id="rId12"/>
          <w:headerReference w:type="first" r:id="rId13"/>
          <w:footerReference w:type="first" r:id="rId14"/>
          <w:pgSz w:w="12240" w:h="15840"/>
          <w:pgMar w:top="1296" w:right="1440" w:bottom="1440" w:left="1440" w:header="432" w:footer="720" w:gutter="0"/>
          <w:cols w:space="720"/>
          <w:titlePg/>
          <w:docGrid w:linePitch="360"/>
        </w:sectPr>
      </w:pPr>
    </w:p>
    <w:p w:rsidR="00DC0302" w:rsidRPr="00AA3FD0" w:rsidRDefault="0098674A" w:rsidP="00AA3FD0">
      <w:pPr>
        <w:pStyle w:val="Heading2"/>
        <w:ind w:firstLine="0"/>
        <w:rPr>
          <w:b/>
        </w:rPr>
      </w:pPr>
      <w:bookmarkStart w:id="0" w:name="Indicator"/>
      <w:bookmarkEnd w:id="0"/>
      <w:r w:rsidRPr="00AA3FD0">
        <w:rPr>
          <w:b/>
        </w:rPr>
        <w:lastRenderedPageBreak/>
        <w:t>Florida DOC’s Denial of Access Violates Section 504</w:t>
      </w:r>
      <w:r w:rsidR="00580955" w:rsidRPr="00AA3FD0">
        <w:rPr>
          <w:b/>
        </w:rPr>
        <w:t xml:space="preserve"> – Recommended Remedial Measures</w:t>
      </w:r>
    </w:p>
    <w:p w:rsidR="001872CB" w:rsidRDefault="00DC1B55" w:rsidP="00E805A7">
      <w:pPr>
        <w:spacing w:before="240" w:after="240"/>
        <w:ind w:right="720"/>
        <w:rPr>
          <w:szCs w:val="24"/>
        </w:rPr>
      </w:pPr>
      <w:r>
        <w:tab/>
      </w:r>
      <w:r w:rsidR="004A32DD">
        <w:t xml:space="preserve">Section </w:t>
      </w:r>
      <w:r w:rsidR="00DC57D2">
        <w:t>5</w:t>
      </w:r>
      <w:r w:rsidR="00174804">
        <w:t>04 prohibits discrimination in F</w:t>
      </w:r>
      <w:r w:rsidR="00DC57D2">
        <w:t xml:space="preserve">ederally-assisted programs on the </w:t>
      </w:r>
      <w:r w:rsidR="00AF2A64">
        <w:t>basis</w:t>
      </w:r>
      <w:r w:rsidR="00DC57D2">
        <w:t xml:space="preserve"> of disability.  </w:t>
      </w:r>
      <w:r w:rsidR="00DC57D2">
        <w:rPr>
          <w:szCs w:val="24"/>
        </w:rPr>
        <w:t>29 U.S.C. § 794(a); 28 C.F.R. § 42.503.</w:t>
      </w:r>
      <w:r w:rsidR="00F75686">
        <w:rPr>
          <w:szCs w:val="24"/>
        </w:rPr>
        <w:t xml:space="preserve">  </w:t>
      </w:r>
      <w:r w:rsidR="00E44F85">
        <w:t>Section 504 adopts the remedies, procedures, and rights under Title VI of the Civil Rights Act of 1964</w:t>
      </w:r>
      <w:r w:rsidR="00AF2A64">
        <w:t xml:space="preserve"> (Title VI)</w:t>
      </w:r>
      <w:r w:rsidR="00E44F85">
        <w:t xml:space="preserve">.  29 </w:t>
      </w:r>
      <w:r w:rsidR="00AD6E79">
        <w:t xml:space="preserve"> </w:t>
      </w:r>
      <w:r w:rsidR="00E44F85">
        <w:t>U.S.C.</w:t>
      </w:r>
      <w:r w:rsidR="00E44F85" w:rsidRPr="00E44F85">
        <w:rPr>
          <w:szCs w:val="24"/>
        </w:rPr>
        <w:t xml:space="preserve"> </w:t>
      </w:r>
      <w:r w:rsidR="00E44F85">
        <w:rPr>
          <w:szCs w:val="24"/>
        </w:rPr>
        <w:t xml:space="preserve">§ 794(a).  </w:t>
      </w:r>
      <w:r w:rsidR="00AF2A64">
        <w:rPr>
          <w:szCs w:val="24"/>
        </w:rPr>
        <w:t>The procedural provisions applicable to Title VI (28 C.F.R. §§ 42.106-42.110) apply to Section 504.  28 C.F.R. §</w:t>
      </w:r>
      <w:r w:rsidR="00174804">
        <w:rPr>
          <w:szCs w:val="24"/>
        </w:rPr>
        <w:t xml:space="preserve"> </w:t>
      </w:r>
      <w:r w:rsidR="00AF2A64">
        <w:rPr>
          <w:szCs w:val="24"/>
        </w:rPr>
        <w:t xml:space="preserve">42.530(a).  </w:t>
      </w:r>
      <w:r w:rsidR="00A30C4B">
        <w:t xml:space="preserve">The Department’s </w:t>
      </w:r>
      <w:r w:rsidR="00F934CE">
        <w:t>Title VI</w:t>
      </w:r>
      <w:r w:rsidR="00A30C4B">
        <w:t xml:space="preserve"> implementing regulation</w:t>
      </w:r>
      <w:r w:rsidR="00F75686">
        <w:t>s</w:t>
      </w:r>
      <w:r w:rsidR="00A30C4B">
        <w:t xml:space="preserve"> </w:t>
      </w:r>
      <w:r w:rsidR="00487073">
        <w:rPr>
          <w:szCs w:val="24"/>
        </w:rPr>
        <w:t xml:space="preserve">incorporated into the investigatory and compliance review procedures for Section 504 by 28 C.F.R. § 42.530(a), </w:t>
      </w:r>
      <w:r w:rsidR="00A30C4B">
        <w:t xml:space="preserve">require, among other obligations, that recipients of </w:t>
      </w:r>
      <w:r w:rsidR="001872CB">
        <w:t>F</w:t>
      </w:r>
      <w:r w:rsidR="00A30C4B">
        <w:t xml:space="preserve">ederal financial assistance </w:t>
      </w:r>
      <w:r w:rsidR="00E44F85">
        <w:t>shall permit access by the Department</w:t>
      </w:r>
      <w:r w:rsidR="00E629D0">
        <w:t xml:space="preserve"> “</w:t>
      </w:r>
      <w:r w:rsidR="00E44F85">
        <w:t>to such of its books, records, accounts, and other sources of information</w:t>
      </w:r>
      <w:r w:rsidR="00E629D0">
        <w:t>,</w:t>
      </w:r>
      <w:r w:rsidR="00E44F85">
        <w:t xml:space="preserve"> and its facilities, as may be pertinent to ascertain compliance….</w:t>
      </w:r>
      <w:r w:rsidR="00E629D0">
        <w:t xml:space="preserve">”  </w:t>
      </w:r>
      <w:r w:rsidR="00E44F85">
        <w:t xml:space="preserve">28 C.F.R. </w:t>
      </w:r>
      <w:r w:rsidR="00B05C5C">
        <w:rPr>
          <w:szCs w:val="24"/>
        </w:rPr>
        <w:t>§ 42.106(</w:t>
      </w:r>
      <w:r w:rsidR="00E44F85">
        <w:rPr>
          <w:szCs w:val="24"/>
        </w:rPr>
        <w:t>c)</w:t>
      </w:r>
      <w:r w:rsidR="00F934CE">
        <w:rPr>
          <w:szCs w:val="24"/>
        </w:rPr>
        <w:t xml:space="preserve">.  </w:t>
      </w:r>
    </w:p>
    <w:p w:rsidR="00E805A7" w:rsidRDefault="001872CB" w:rsidP="00E805A7">
      <w:pPr>
        <w:spacing w:before="240" w:after="240"/>
        <w:ind w:right="720"/>
        <w:rPr>
          <w:szCs w:val="24"/>
        </w:rPr>
      </w:pPr>
      <w:r>
        <w:rPr>
          <w:szCs w:val="24"/>
        </w:rPr>
        <w:tab/>
      </w:r>
      <w:r w:rsidR="00121669">
        <w:rPr>
          <w:szCs w:val="24"/>
        </w:rPr>
        <w:t>The Section 504</w:t>
      </w:r>
      <w:r w:rsidR="00775073">
        <w:rPr>
          <w:szCs w:val="24"/>
        </w:rPr>
        <w:t xml:space="preserve"> </w:t>
      </w:r>
      <w:r w:rsidR="00F934CE">
        <w:rPr>
          <w:szCs w:val="24"/>
        </w:rPr>
        <w:t>implementing regulation</w:t>
      </w:r>
      <w:r w:rsidR="00F75686">
        <w:rPr>
          <w:szCs w:val="24"/>
        </w:rPr>
        <w:t>s</w:t>
      </w:r>
      <w:r w:rsidR="00F934CE">
        <w:rPr>
          <w:szCs w:val="24"/>
        </w:rPr>
        <w:t xml:space="preserve"> also require that every application for </w:t>
      </w:r>
      <w:r w:rsidR="00121669">
        <w:rPr>
          <w:szCs w:val="24"/>
        </w:rPr>
        <w:t>F</w:t>
      </w:r>
      <w:r w:rsidR="00F934CE">
        <w:rPr>
          <w:szCs w:val="24"/>
        </w:rPr>
        <w:t xml:space="preserve">ederal financial assistance be accompanied by an assurance that the program will be conducted in compliance with all requirements imposed by </w:t>
      </w:r>
      <w:r w:rsidR="00121669">
        <w:rPr>
          <w:szCs w:val="24"/>
        </w:rPr>
        <w:t>Section 504</w:t>
      </w:r>
      <w:r w:rsidR="00F934CE">
        <w:rPr>
          <w:szCs w:val="24"/>
        </w:rPr>
        <w:t xml:space="preserve">.  </w:t>
      </w:r>
      <w:r w:rsidR="00F934CE">
        <w:t xml:space="preserve">28 C.F.R. </w:t>
      </w:r>
      <w:r w:rsidR="00F934CE">
        <w:rPr>
          <w:szCs w:val="24"/>
        </w:rPr>
        <w:t xml:space="preserve">§ </w:t>
      </w:r>
      <w:r w:rsidR="00121669">
        <w:rPr>
          <w:szCs w:val="24"/>
        </w:rPr>
        <w:t>42.504</w:t>
      </w:r>
      <w:r w:rsidR="00F75686">
        <w:rPr>
          <w:szCs w:val="24"/>
        </w:rPr>
        <w:t>.</w:t>
      </w:r>
      <w:r w:rsidR="0091741F">
        <w:rPr>
          <w:szCs w:val="24"/>
        </w:rPr>
        <w:t xml:space="preserve">  </w:t>
      </w:r>
      <w:r w:rsidR="00D43CCF">
        <w:rPr>
          <w:szCs w:val="24"/>
        </w:rPr>
        <w:t xml:space="preserve">Pursuant to this requirement, the Florida DOC signed assurances </w:t>
      </w:r>
      <w:r>
        <w:rPr>
          <w:szCs w:val="24"/>
        </w:rPr>
        <w:t xml:space="preserve">that it would </w:t>
      </w:r>
      <w:r>
        <w:rPr>
          <w:szCs w:val="24"/>
        </w:rPr>
        <w:lastRenderedPageBreak/>
        <w:t xml:space="preserve">conduct its program in compliance with Section 504 and </w:t>
      </w:r>
      <w:r w:rsidR="00D43CCF">
        <w:rPr>
          <w:szCs w:val="24"/>
        </w:rPr>
        <w:t>agree</w:t>
      </w:r>
      <w:r w:rsidR="00174804">
        <w:rPr>
          <w:szCs w:val="24"/>
        </w:rPr>
        <w:t>d</w:t>
      </w:r>
      <w:r w:rsidR="00D43CCF">
        <w:rPr>
          <w:szCs w:val="24"/>
        </w:rPr>
        <w:t xml:space="preserve"> to permit the Department </w:t>
      </w:r>
      <w:r w:rsidR="00174804">
        <w:rPr>
          <w:szCs w:val="24"/>
        </w:rPr>
        <w:t xml:space="preserve">with </w:t>
      </w:r>
      <w:r w:rsidR="00D43CCF">
        <w:rPr>
          <w:szCs w:val="24"/>
        </w:rPr>
        <w:t>access to pertinent information and facilities</w:t>
      </w:r>
      <w:r>
        <w:rPr>
          <w:szCs w:val="24"/>
        </w:rPr>
        <w:t xml:space="preserve"> in order to evaluate its compliance</w:t>
      </w:r>
      <w:r w:rsidR="00D43CCF">
        <w:rPr>
          <w:szCs w:val="24"/>
        </w:rPr>
        <w:t>.</w:t>
      </w:r>
    </w:p>
    <w:p w:rsidR="00702EDB" w:rsidRDefault="00D43CCF" w:rsidP="00E805A7">
      <w:pPr>
        <w:spacing w:before="240" w:after="240"/>
        <w:ind w:right="720"/>
        <w:rPr>
          <w:szCs w:val="24"/>
        </w:rPr>
      </w:pPr>
      <w:r>
        <w:rPr>
          <w:szCs w:val="24"/>
        </w:rPr>
        <w:tab/>
      </w:r>
      <w:r w:rsidR="00121669">
        <w:rPr>
          <w:szCs w:val="24"/>
        </w:rPr>
        <w:t xml:space="preserve">Therefore, </w:t>
      </w:r>
      <w:r w:rsidR="00AD6E79">
        <w:rPr>
          <w:szCs w:val="24"/>
        </w:rPr>
        <w:t xml:space="preserve">the </w:t>
      </w:r>
      <w:r>
        <w:rPr>
          <w:szCs w:val="24"/>
        </w:rPr>
        <w:t xml:space="preserve">Florida DOC’s </w:t>
      </w:r>
      <w:r w:rsidR="00AF2682">
        <w:rPr>
          <w:szCs w:val="24"/>
        </w:rPr>
        <w:t xml:space="preserve">ongoing </w:t>
      </w:r>
      <w:r>
        <w:rPr>
          <w:szCs w:val="24"/>
        </w:rPr>
        <w:t xml:space="preserve">refusal to cooperate with the Department’s </w:t>
      </w:r>
      <w:r w:rsidR="00702EDB">
        <w:rPr>
          <w:szCs w:val="24"/>
        </w:rPr>
        <w:t xml:space="preserve">request for a </w:t>
      </w:r>
      <w:r>
        <w:rPr>
          <w:szCs w:val="24"/>
        </w:rPr>
        <w:t>compliance review is a violation of Section 504, the implementing regulations, and related assurance agreements.</w:t>
      </w:r>
      <w:r w:rsidR="00C1438D">
        <w:rPr>
          <w:rStyle w:val="FootnoteReference"/>
          <w:szCs w:val="24"/>
        </w:rPr>
        <w:footnoteReference w:id="2"/>
      </w:r>
      <w:r>
        <w:rPr>
          <w:szCs w:val="24"/>
        </w:rPr>
        <w:t xml:space="preserve"> </w:t>
      </w:r>
      <w:r w:rsidR="00AF2682">
        <w:rPr>
          <w:szCs w:val="24"/>
        </w:rPr>
        <w:t xml:space="preserve"> </w:t>
      </w:r>
      <w:r w:rsidRPr="00B05C5C">
        <w:rPr>
          <w:szCs w:val="24"/>
        </w:rPr>
        <w:t>The Department accordingly notifies you that</w:t>
      </w:r>
      <w:r w:rsidR="00702EDB">
        <w:rPr>
          <w:szCs w:val="24"/>
        </w:rPr>
        <w:t>,</w:t>
      </w:r>
      <w:r w:rsidRPr="00B05C5C">
        <w:rPr>
          <w:szCs w:val="24"/>
        </w:rPr>
        <w:t xml:space="preserve"> absent</w:t>
      </w:r>
      <w:r w:rsidR="007F27E7">
        <w:rPr>
          <w:szCs w:val="24"/>
        </w:rPr>
        <w:t xml:space="preserve"> the</w:t>
      </w:r>
      <w:r w:rsidRPr="00B05C5C">
        <w:rPr>
          <w:szCs w:val="24"/>
        </w:rPr>
        <w:t xml:space="preserve"> Florida DOC’s voluntary compliance to correct these violations within two weeks</w:t>
      </w:r>
      <w:r w:rsidR="009952DB" w:rsidRPr="00B05C5C">
        <w:rPr>
          <w:szCs w:val="24"/>
        </w:rPr>
        <w:t xml:space="preserve"> of the date of this correspondence</w:t>
      </w:r>
      <w:r w:rsidR="002409C6">
        <w:rPr>
          <w:szCs w:val="24"/>
        </w:rPr>
        <w:t xml:space="preserve">, the Department will conclude that compliance has not been achieved by voluntary means and will </w:t>
      </w:r>
      <w:r w:rsidR="000F2229">
        <w:rPr>
          <w:szCs w:val="24"/>
        </w:rPr>
        <w:t>recommend to the Attorney General that the Department should initiate</w:t>
      </w:r>
      <w:r w:rsidR="002409C6">
        <w:rPr>
          <w:szCs w:val="24"/>
        </w:rPr>
        <w:t xml:space="preserve"> civ</w:t>
      </w:r>
      <w:r w:rsidR="00F75686">
        <w:rPr>
          <w:szCs w:val="24"/>
        </w:rPr>
        <w:t>il litigation under</w:t>
      </w:r>
      <w:r w:rsidR="002409C6">
        <w:rPr>
          <w:szCs w:val="24"/>
        </w:rPr>
        <w:t xml:space="preserve"> Section 504 to compel compliance</w:t>
      </w:r>
      <w:r w:rsidRPr="00B05C5C">
        <w:rPr>
          <w:szCs w:val="24"/>
        </w:rPr>
        <w:t>.</w:t>
      </w:r>
      <w:r>
        <w:rPr>
          <w:szCs w:val="24"/>
        </w:rPr>
        <w:t xml:space="preserve">  </w:t>
      </w:r>
      <w:r w:rsidR="00EA0294">
        <w:rPr>
          <w:szCs w:val="24"/>
        </w:rPr>
        <w:t xml:space="preserve">28 </w:t>
      </w:r>
      <w:r w:rsidR="00EA0294">
        <w:t xml:space="preserve">C.F.R. </w:t>
      </w:r>
      <w:r w:rsidR="00EA0294">
        <w:rPr>
          <w:szCs w:val="24"/>
        </w:rPr>
        <w:t>§</w:t>
      </w:r>
      <w:r w:rsidR="00001C2C">
        <w:rPr>
          <w:szCs w:val="24"/>
        </w:rPr>
        <w:t>§</w:t>
      </w:r>
      <w:r w:rsidR="00EA0294">
        <w:rPr>
          <w:szCs w:val="24"/>
        </w:rPr>
        <w:t xml:space="preserve"> 42.108</w:t>
      </w:r>
      <w:r w:rsidR="00C851F8">
        <w:rPr>
          <w:szCs w:val="24"/>
        </w:rPr>
        <w:t>(a)(1)</w:t>
      </w:r>
      <w:r w:rsidR="00121669">
        <w:rPr>
          <w:szCs w:val="24"/>
        </w:rPr>
        <w:t xml:space="preserve"> and</w:t>
      </w:r>
      <w:r w:rsidR="00C851F8">
        <w:rPr>
          <w:szCs w:val="24"/>
        </w:rPr>
        <w:t xml:space="preserve"> 42.108</w:t>
      </w:r>
      <w:r w:rsidR="00EA0294">
        <w:rPr>
          <w:szCs w:val="24"/>
        </w:rPr>
        <w:t>(d)</w:t>
      </w:r>
      <w:r w:rsidR="00001C2C">
        <w:rPr>
          <w:szCs w:val="24"/>
        </w:rPr>
        <w:t xml:space="preserve"> </w:t>
      </w:r>
      <w:r w:rsidR="00EA0294">
        <w:rPr>
          <w:szCs w:val="24"/>
        </w:rPr>
        <w:t xml:space="preserve">.  </w:t>
      </w:r>
    </w:p>
    <w:p w:rsidR="00E379A3" w:rsidRDefault="00702EDB" w:rsidP="00E805A7">
      <w:pPr>
        <w:spacing w:before="240" w:after="240"/>
        <w:ind w:right="720"/>
        <w:rPr>
          <w:szCs w:val="24"/>
        </w:rPr>
      </w:pPr>
      <w:r>
        <w:rPr>
          <w:szCs w:val="24"/>
        </w:rPr>
        <w:tab/>
      </w:r>
      <w:r w:rsidR="00EA0294">
        <w:rPr>
          <w:szCs w:val="24"/>
        </w:rPr>
        <w:t>In the interest of seeking</w:t>
      </w:r>
      <w:r>
        <w:rPr>
          <w:szCs w:val="24"/>
        </w:rPr>
        <w:t xml:space="preserve"> a voluntary resolution without the necessity of litigation</w:t>
      </w:r>
      <w:r w:rsidR="00EA0294">
        <w:rPr>
          <w:szCs w:val="24"/>
        </w:rPr>
        <w:t xml:space="preserve">, the Department remains open to </w:t>
      </w:r>
      <w:r w:rsidR="007F27E7">
        <w:rPr>
          <w:szCs w:val="24"/>
        </w:rPr>
        <w:t xml:space="preserve">the </w:t>
      </w:r>
      <w:r w:rsidR="00EA0294">
        <w:rPr>
          <w:szCs w:val="24"/>
        </w:rPr>
        <w:t xml:space="preserve">Florida DOC’s cooperation </w:t>
      </w:r>
      <w:r w:rsidR="00990B67">
        <w:rPr>
          <w:szCs w:val="24"/>
        </w:rPr>
        <w:t>with</w:t>
      </w:r>
      <w:r w:rsidR="00EA0294">
        <w:rPr>
          <w:szCs w:val="24"/>
        </w:rPr>
        <w:t xml:space="preserve"> the request to conduct an on-site </w:t>
      </w:r>
      <w:r>
        <w:rPr>
          <w:szCs w:val="24"/>
        </w:rPr>
        <w:t xml:space="preserve">compliance </w:t>
      </w:r>
      <w:r w:rsidR="00EA0294">
        <w:rPr>
          <w:szCs w:val="24"/>
        </w:rPr>
        <w:t>review of Tomoka</w:t>
      </w:r>
      <w:r w:rsidR="00121669">
        <w:rPr>
          <w:szCs w:val="24"/>
        </w:rPr>
        <w:t xml:space="preserve"> within thirty (30) days of the date of this correspondence</w:t>
      </w:r>
      <w:r w:rsidR="00EA0294">
        <w:rPr>
          <w:szCs w:val="24"/>
        </w:rPr>
        <w:t xml:space="preserve">.  </w:t>
      </w:r>
    </w:p>
    <w:p w:rsidR="00580955" w:rsidRPr="00AA3FD0" w:rsidRDefault="00580955" w:rsidP="00AA3FD0">
      <w:pPr>
        <w:pStyle w:val="Heading2"/>
        <w:ind w:firstLine="0"/>
        <w:rPr>
          <w:b/>
        </w:rPr>
      </w:pPr>
      <w:r w:rsidRPr="00AA3FD0">
        <w:rPr>
          <w:b/>
        </w:rPr>
        <w:t>Conclusion</w:t>
      </w:r>
    </w:p>
    <w:p w:rsidR="00AA3FD0" w:rsidRPr="00AA3FD0" w:rsidRDefault="00AA3FD0" w:rsidP="00AA3FD0"/>
    <w:p w:rsidR="000F2229" w:rsidRDefault="000F2229" w:rsidP="00B41564">
      <w:pPr>
        <w:rPr>
          <w:szCs w:val="24"/>
        </w:rPr>
      </w:pPr>
      <w:r>
        <w:rPr>
          <w:szCs w:val="24"/>
        </w:rPr>
        <w:tab/>
      </w:r>
      <w:r w:rsidR="00067335">
        <w:rPr>
          <w:szCs w:val="24"/>
        </w:rPr>
        <w:t xml:space="preserve">Although we would prefer </w:t>
      </w:r>
      <w:r w:rsidR="001872CB">
        <w:rPr>
          <w:szCs w:val="24"/>
        </w:rPr>
        <w:t xml:space="preserve">to negotiate a </w:t>
      </w:r>
      <w:r w:rsidR="00067335">
        <w:rPr>
          <w:szCs w:val="24"/>
        </w:rPr>
        <w:t xml:space="preserve">voluntary </w:t>
      </w:r>
      <w:r w:rsidR="001872CB">
        <w:rPr>
          <w:szCs w:val="24"/>
        </w:rPr>
        <w:t>resolution</w:t>
      </w:r>
      <w:r w:rsidR="00067335">
        <w:rPr>
          <w:szCs w:val="24"/>
        </w:rPr>
        <w:t xml:space="preserve"> in this </w:t>
      </w:r>
      <w:r w:rsidR="001872CB">
        <w:rPr>
          <w:szCs w:val="24"/>
        </w:rPr>
        <w:t>matter</w:t>
      </w:r>
      <w:r w:rsidR="00067335">
        <w:rPr>
          <w:szCs w:val="24"/>
        </w:rPr>
        <w:t xml:space="preserve">, </w:t>
      </w:r>
      <w:r w:rsidR="00193704">
        <w:rPr>
          <w:szCs w:val="24"/>
        </w:rPr>
        <w:t>the Attorney General may initiate a lawsuit pursuant to Section 504</w:t>
      </w:r>
      <w:r w:rsidR="00067335">
        <w:rPr>
          <w:szCs w:val="24"/>
        </w:rPr>
        <w:t xml:space="preserve"> if </w:t>
      </w:r>
      <w:r w:rsidR="007F27E7">
        <w:rPr>
          <w:szCs w:val="24"/>
        </w:rPr>
        <w:t xml:space="preserve">the </w:t>
      </w:r>
      <w:r w:rsidR="00067335">
        <w:rPr>
          <w:szCs w:val="24"/>
        </w:rPr>
        <w:t xml:space="preserve">Florida DOC </w:t>
      </w:r>
      <w:r w:rsidR="00193704">
        <w:rPr>
          <w:szCs w:val="24"/>
        </w:rPr>
        <w:t>refuses to voluntarily cooperate</w:t>
      </w:r>
      <w:r w:rsidR="00067335">
        <w:rPr>
          <w:szCs w:val="24"/>
        </w:rPr>
        <w:t xml:space="preserve"> with the Department’s </w:t>
      </w:r>
      <w:r w:rsidR="00193704">
        <w:rPr>
          <w:szCs w:val="24"/>
        </w:rPr>
        <w:t>re</w:t>
      </w:r>
      <w:r w:rsidR="00F75686">
        <w:rPr>
          <w:szCs w:val="24"/>
        </w:rPr>
        <w:t xml:space="preserve">quest to conduct a </w:t>
      </w:r>
      <w:r w:rsidR="00193704">
        <w:rPr>
          <w:szCs w:val="24"/>
        </w:rPr>
        <w:t xml:space="preserve">Section 504 </w:t>
      </w:r>
      <w:r w:rsidR="00067335">
        <w:rPr>
          <w:szCs w:val="24"/>
        </w:rPr>
        <w:t xml:space="preserve">compliance review.  </w:t>
      </w:r>
      <w:r w:rsidR="00C851F8">
        <w:rPr>
          <w:szCs w:val="24"/>
        </w:rPr>
        <w:t xml:space="preserve">28 </w:t>
      </w:r>
      <w:r w:rsidR="00C851F8">
        <w:t xml:space="preserve">C.F.R. </w:t>
      </w:r>
      <w:r w:rsidR="00C851F8">
        <w:rPr>
          <w:szCs w:val="24"/>
        </w:rPr>
        <w:t>§</w:t>
      </w:r>
      <w:r w:rsidR="00001C2C">
        <w:rPr>
          <w:szCs w:val="24"/>
        </w:rPr>
        <w:t xml:space="preserve">§ </w:t>
      </w:r>
      <w:r w:rsidR="00C851F8">
        <w:rPr>
          <w:szCs w:val="24"/>
        </w:rPr>
        <w:t>42.108(a)(1)</w:t>
      </w:r>
      <w:r w:rsidR="001872CB">
        <w:rPr>
          <w:szCs w:val="24"/>
        </w:rPr>
        <w:t xml:space="preserve"> and</w:t>
      </w:r>
      <w:r w:rsidR="00174804">
        <w:rPr>
          <w:szCs w:val="24"/>
        </w:rPr>
        <w:t xml:space="preserve"> </w:t>
      </w:r>
      <w:r w:rsidR="00C851F8">
        <w:rPr>
          <w:szCs w:val="24"/>
        </w:rPr>
        <w:t xml:space="preserve">42.108(d). </w:t>
      </w:r>
    </w:p>
    <w:p w:rsidR="00397D8C" w:rsidRDefault="00193704" w:rsidP="00B41564">
      <w:pPr>
        <w:rPr>
          <w:szCs w:val="24"/>
        </w:rPr>
      </w:pPr>
      <w:r>
        <w:rPr>
          <w:szCs w:val="24"/>
        </w:rPr>
        <w:tab/>
      </w:r>
    </w:p>
    <w:p w:rsidR="00B41564" w:rsidRDefault="00397D8C" w:rsidP="00397D8C">
      <w:pPr>
        <w:autoSpaceDE/>
        <w:autoSpaceDN/>
        <w:adjustRightInd/>
        <w:rPr>
          <w:szCs w:val="24"/>
        </w:rPr>
      </w:pPr>
      <w:r>
        <w:rPr>
          <w:szCs w:val="24"/>
        </w:rPr>
        <w:tab/>
      </w:r>
      <w:r w:rsidR="00B41564">
        <w:rPr>
          <w:szCs w:val="24"/>
        </w:rPr>
        <w:t xml:space="preserve">We hope to work with you and </w:t>
      </w:r>
      <w:r w:rsidR="001872CB">
        <w:rPr>
          <w:szCs w:val="24"/>
        </w:rPr>
        <w:t>appropriate</w:t>
      </w:r>
      <w:r w:rsidR="00B41564">
        <w:rPr>
          <w:szCs w:val="24"/>
        </w:rPr>
        <w:t xml:space="preserve"> </w:t>
      </w:r>
      <w:r>
        <w:rPr>
          <w:szCs w:val="24"/>
        </w:rPr>
        <w:t xml:space="preserve">Florida DOC </w:t>
      </w:r>
      <w:r w:rsidR="00B41564">
        <w:rPr>
          <w:szCs w:val="24"/>
        </w:rPr>
        <w:t xml:space="preserve">officials </w:t>
      </w:r>
      <w:r w:rsidR="00E23C3F">
        <w:rPr>
          <w:szCs w:val="24"/>
        </w:rPr>
        <w:t xml:space="preserve">towards </w:t>
      </w:r>
      <w:r w:rsidR="00B41564">
        <w:rPr>
          <w:szCs w:val="24"/>
        </w:rPr>
        <w:t>an amicable resol</w:t>
      </w:r>
      <w:r w:rsidR="00E23C3F">
        <w:rPr>
          <w:szCs w:val="24"/>
        </w:rPr>
        <w:t xml:space="preserve">ution </w:t>
      </w:r>
      <w:r w:rsidR="00B41564">
        <w:rPr>
          <w:szCs w:val="24"/>
        </w:rPr>
        <w:t>regard</w:t>
      </w:r>
      <w:r w:rsidR="00702EDB">
        <w:rPr>
          <w:szCs w:val="24"/>
        </w:rPr>
        <w:t>ing</w:t>
      </w:r>
      <w:r w:rsidR="00B41564">
        <w:rPr>
          <w:szCs w:val="24"/>
        </w:rPr>
        <w:t xml:space="preserve"> </w:t>
      </w:r>
      <w:r w:rsidR="001872CB">
        <w:rPr>
          <w:szCs w:val="24"/>
        </w:rPr>
        <w:t xml:space="preserve">the </w:t>
      </w:r>
      <w:r w:rsidR="00B41564">
        <w:rPr>
          <w:szCs w:val="24"/>
        </w:rPr>
        <w:t xml:space="preserve">Florida DOC’s obligation to permit the Department to conduct its </w:t>
      </w:r>
      <w:r w:rsidR="00174804">
        <w:rPr>
          <w:szCs w:val="24"/>
        </w:rPr>
        <w:t>c</w:t>
      </w:r>
      <w:r w:rsidR="00B41564">
        <w:rPr>
          <w:szCs w:val="24"/>
        </w:rPr>
        <w:t xml:space="preserve">ompliance review, including an on-site inspection of the </w:t>
      </w:r>
      <w:r w:rsidR="00E23C3F">
        <w:rPr>
          <w:szCs w:val="24"/>
        </w:rPr>
        <w:t xml:space="preserve">Tomoka </w:t>
      </w:r>
      <w:r w:rsidR="00B41564">
        <w:rPr>
          <w:szCs w:val="24"/>
        </w:rPr>
        <w:t>facility</w:t>
      </w:r>
      <w:r w:rsidR="00AD6E79">
        <w:rPr>
          <w:szCs w:val="24"/>
        </w:rPr>
        <w:t>,</w:t>
      </w:r>
      <w:r w:rsidR="00B41564">
        <w:rPr>
          <w:szCs w:val="24"/>
        </w:rPr>
        <w:t xml:space="preserve"> and interviews</w:t>
      </w:r>
      <w:r w:rsidR="00193704">
        <w:rPr>
          <w:szCs w:val="24"/>
        </w:rPr>
        <w:t xml:space="preserve"> with inmates and appropriate Tomoka personnel</w:t>
      </w:r>
      <w:r w:rsidR="00174804">
        <w:rPr>
          <w:szCs w:val="24"/>
        </w:rPr>
        <w:t>.  Please contact</w:t>
      </w:r>
      <w:r w:rsidR="00383037">
        <w:rPr>
          <w:szCs w:val="24"/>
        </w:rPr>
        <w:t xml:space="preserve"> Trial Attorney</w:t>
      </w:r>
      <w:r w:rsidR="00174804">
        <w:rPr>
          <w:szCs w:val="24"/>
        </w:rPr>
        <w:t xml:space="preserve"> </w:t>
      </w:r>
      <w:r w:rsidR="00B41564">
        <w:rPr>
          <w:szCs w:val="24"/>
        </w:rPr>
        <w:t xml:space="preserve">Douglas Kern at </w:t>
      </w:r>
      <w:r w:rsidR="00E23C3F">
        <w:rPr>
          <w:szCs w:val="24"/>
        </w:rPr>
        <w:t>(</w:t>
      </w:r>
      <w:r w:rsidR="00B41564">
        <w:rPr>
          <w:szCs w:val="24"/>
        </w:rPr>
        <w:t>202</w:t>
      </w:r>
      <w:r w:rsidR="00E23C3F">
        <w:rPr>
          <w:szCs w:val="24"/>
        </w:rPr>
        <w:t xml:space="preserve">) </w:t>
      </w:r>
      <w:r w:rsidR="00B41564">
        <w:rPr>
          <w:szCs w:val="24"/>
        </w:rPr>
        <w:t>616-9664 within two weeks</w:t>
      </w:r>
      <w:r w:rsidR="00193704">
        <w:rPr>
          <w:szCs w:val="24"/>
        </w:rPr>
        <w:t xml:space="preserve"> of the date of this correspondence</w:t>
      </w:r>
      <w:r w:rsidR="00B41564">
        <w:rPr>
          <w:szCs w:val="24"/>
        </w:rPr>
        <w:t xml:space="preserve"> if you are willing to resolve this matter voluntarily.</w:t>
      </w:r>
    </w:p>
    <w:p w:rsidR="00990B67" w:rsidRDefault="00990B67" w:rsidP="00B41564">
      <w:pPr>
        <w:rPr>
          <w:szCs w:val="24"/>
        </w:rPr>
      </w:pPr>
    </w:p>
    <w:p w:rsidR="00E379A3" w:rsidRDefault="0060573F" w:rsidP="00E805A7">
      <w:pPr>
        <w:spacing w:before="240" w:after="240"/>
        <w:ind w:right="720"/>
        <w:rPr>
          <w:szCs w:val="24"/>
        </w:rPr>
      </w:pPr>
      <w:r>
        <w:rPr>
          <w:szCs w:val="24"/>
        </w:rPr>
        <w:tab/>
      </w:r>
      <w:r>
        <w:rPr>
          <w:szCs w:val="24"/>
        </w:rPr>
        <w:tab/>
      </w:r>
      <w:r>
        <w:rPr>
          <w:szCs w:val="24"/>
        </w:rPr>
        <w:tab/>
      </w:r>
      <w:r>
        <w:rPr>
          <w:szCs w:val="24"/>
        </w:rPr>
        <w:tab/>
      </w:r>
      <w:r>
        <w:rPr>
          <w:szCs w:val="24"/>
        </w:rPr>
        <w:tab/>
      </w:r>
      <w:r w:rsidR="00990B67">
        <w:rPr>
          <w:szCs w:val="24"/>
        </w:rPr>
        <w:tab/>
      </w:r>
    </w:p>
    <w:p w:rsidR="00E379A3" w:rsidRDefault="00E379A3">
      <w:pPr>
        <w:autoSpaceDE/>
        <w:autoSpaceDN/>
        <w:adjustRightInd/>
        <w:rPr>
          <w:szCs w:val="24"/>
        </w:rPr>
      </w:pPr>
      <w:r>
        <w:rPr>
          <w:szCs w:val="24"/>
        </w:rPr>
        <w:br w:type="page"/>
      </w:r>
    </w:p>
    <w:p w:rsidR="0060573F" w:rsidRPr="00AA3FD0" w:rsidRDefault="00E379A3" w:rsidP="00AA3FD0">
      <w:pPr>
        <w:pStyle w:val="Closing"/>
      </w:pPr>
      <w:r>
        <w:tab/>
      </w:r>
      <w:r>
        <w:tab/>
      </w:r>
      <w:r>
        <w:tab/>
      </w:r>
      <w:r>
        <w:tab/>
      </w:r>
      <w:r>
        <w:tab/>
      </w:r>
      <w:r>
        <w:tab/>
      </w:r>
      <w:r w:rsidR="0060573F" w:rsidRPr="00AA3FD0">
        <w:t>Sincerely,</w:t>
      </w:r>
    </w:p>
    <w:p w:rsidR="00397D8C" w:rsidRDefault="002748D1" w:rsidP="0060573F">
      <w:pPr>
        <w:rPr>
          <w:szCs w:val="24"/>
        </w:rPr>
      </w:pPr>
      <w:r>
        <w:rPr>
          <w:szCs w:val="24"/>
        </w:rPr>
        <w:tab/>
      </w:r>
      <w:r>
        <w:rPr>
          <w:szCs w:val="24"/>
        </w:rPr>
        <w:tab/>
      </w:r>
      <w:r>
        <w:rPr>
          <w:szCs w:val="24"/>
        </w:rPr>
        <w:tab/>
      </w:r>
      <w:r>
        <w:rPr>
          <w:szCs w:val="24"/>
        </w:rPr>
        <w:tab/>
      </w:r>
      <w:r>
        <w:rPr>
          <w:szCs w:val="24"/>
        </w:rPr>
        <w:tab/>
      </w:r>
      <w:r>
        <w:rPr>
          <w:szCs w:val="24"/>
        </w:rPr>
        <w:tab/>
      </w:r>
      <w:r>
        <w:rPr>
          <w:noProof/>
          <w:szCs w:val="24"/>
        </w:rPr>
        <w:drawing>
          <wp:inline distT="0" distB="0" distL="0" distR="0">
            <wp:extent cx="1229305" cy="402703"/>
            <wp:effectExtent l="19050" t="0" r="8945" b="0"/>
            <wp:docPr id="1" name="Picture 0" descr="signature of Rebecca B.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b_sig.bmp"/>
                    <pic:cNvPicPr/>
                  </pic:nvPicPr>
                  <pic:blipFill>
                    <a:blip r:embed="rId15" cstate="print"/>
                    <a:stretch>
                      <a:fillRect/>
                    </a:stretch>
                  </pic:blipFill>
                  <pic:spPr>
                    <a:xfrm>
                      <a:off x="0" y="0"/>
                      <a:ext cx="1231800" cy="403520"/>
                    </a:xfrm>
                    <a:prstGeom prst="rect">
                      <a:avLst/>
                    </a:prstGeom>
                  </pic:spPr>
                </pic:pic>
              </a:graphicData>
            </a:graphic>
          </wp:inline>
        </w:drawing>
      </w:r>
    </w:p>
    <w:p w:rsidR="00E379A3" w:rsidRDefault="00E379A3" w:rsidP="0060573F">
      <w:pPr>
        <w:rPr>
          <w:szCs w:val="24"/>
        </w:rPr>
      </w:pPr>
    </w:p>
    <w:p w:rsidR="0060573F" w:rsidRPr="00AA3FD0" w:rsidRDefault="0060573F" w:rsidP="00AA3FD0">
      <w:pPr>
        <w:pStyle w:val="Signature"/>
      </w:pPr>
      <w:r>
        <w:tab/>
      </w:r>
      <w:r>
        <w:tab/>
      </w:r>
      <w:r>
        <w:tab/>
      </w:r>
      <w:r>
        <w:tab/>
      </w:r>
      <w:r>
        <w:tab/>
      </w:r>
      <w:r>
        <w:tab/>
      </w:r>
      <w:r w:rsidRPr="00AA3FD0">
        <w:t>Rebecca B. Bond</w:t>
      </w:r>
    </w:p>
    <w:p w:rsidR="0060573F" w:rsidRPr="00AA3FD0" w:rsidRDefault="0060573F" w:rsidP="00AA3FD0">
      <w:pPr>
        <w:pStyle w:val="Signature"/>
        <w:ind w:left="3600" w:firstLine="720"/>
      </w:pPr>
      <w:r w:rsidRPr="00AA3FD0">
        <w:t>Chief</w:t>
      </w:r>
    </w:p>
    <w:p w:rsidR="0060573F" w:rsidRPr="00AA3FD0" w:rsidRDefault="0060573F" w:rsidP="00AA3FD0">
      <w:pPr>
        <w:pStyle w:val="Signature"/>
        <w:ind w:left="3600" w:firstLine="720"/>
      </w:pPr>
      <w:r w:rsidRPr="00AA3FD0">
        <w:t>Disability Rights Section</w:t>
      </w:r>
    </w:p>
    <w:p w:rsidR="00580955" w:rsidRDefault="00580955" w:rsidP="00580955">
      <w:pPr>
        <w:rPr>
          <w:b/>
          <w:szCs w:val="24"/>
        </w:rPr>
      </w:pPr>
    </w:p>
    <w:p w:rsidR="00397D8C" w:rsidRDefault="00397D8C" w:rsidP="00580955">
      <w:pPr>
        <w:rPr>
          <w:szCs w:val="24"/>
        </w:rPr>
      </w:pPr>
    </w:p>
    <w:p w:rsidR="00AF2682" w:rsidRDefault="00AF2682" w:rsidP="00580955">
      <w:pPr>
        <w:rPr>
          <w:szCs w:val="24"/>
        </w:rPr>
      </w:pPr>
      <w:r>
        <w:rPr>
          <w:szCs w:val="24"/>
        </w:rPr>
        <w:t>Enclosures:</w:t>
      </w:r>
    </w:p>
    <w:p w:rsidR="00AF2682" w:rsidRDefault="00AF2682" w:rsidP="00580955">
      <w:pPr>
        <w:rPr>
          <w:szCs w:val="24"/>
        </w:rPr>
      </w:pPr>
      <w:r>
        <w:rPr>
          <w:szCs w:val="24"/>
        </w:rPr>
        <w:t xml:space="preserve">June </w:t>
      </w:r>
      <w:r w:rsidR="00C9567B">
        <w:rPr>
          <w:szCs w:val="24"/>
        </w:rPr>
        <w:t>2</w:t>
      </w:r>
      <w:r>
        <w:rPr>
          <w:szCs w:val="24"/>
        </w:rPr>
        <w:t>6, 2013 correspondence</w:t>
      </w:r>
    </w:p>
    <w:p w:rsidR="00AF2682" w:rsidRDefault="00AF2682" w:rsidP="00580955">
      <w:pPr>
        <w:rPr>
          <w:szCs w:val="24"/>
        </w:rPr>
      </w:pPr>
      <w:r>
        <w:rPr>
          <w:szCs w:val="24"/>
        </w:rPr>
        <w:t>September 19, 2013 correspondence</w:t>
      </w:r>
    </w:p>
    <w:p w:rsidR="00AF2682" w:rsidRPr="00AF2682" w:rsidRDefault="00AF2682" w:rsidP="00580955">
      <w:pPr>
        <w:rPr>
          <w:szCs w:val="24"/>
        </w:rPr>
      </w:pPr>
      <w:r>
        <w:rPr>
          <w:szCs w:val="24"/>
        </w:rPr>
        <w:t>November 5, 2013 corres</w:t>
      </w:r>
      <w:r w:rsidR="00397D8C">
        <w:rPr>
          <w:szCs w:val="24"/>
        </w:rPr>
        <w:t>p</w:t>
      </w:r>
      <w:r>
        <w:rPr>
          <w:szCs w:val="24"/>
        </w:rPr>
        <w:t>ondence</w:t>
      </w:r>
    </w:p>
    <w:sectPr w:rsidR="00AF2682" w:rsidRPr="00AF2682" w:rsidSect="007B5B00">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52C" w:rsidRDefault="00D8352C" w:rsidP="007B5B00">
      <w:r>
        <w:separator/>
      </w:r>
    </w:p>
  </w:endnote>
  <w:endnote w:type="continuationSeparator" w:id="0">
    <w:p w:rsidR="00D8352C" w:rsidRDefault="00D8352C" w:rsidP="007B5B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0F" w:rsidRDefault="00DD21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804" w:rsidRDefault="005718E6">
    <w:pPr>
      <w:pStyle w:val="Footer"/>
      <w:jc w:val="center"/>
    </w:pPr>
    <w:fldSimple w:instr=" PAGE   \* MERGEFORMAT ">
      <w:r w:rsidR="00BA61F2">
        <w:rPr>
          <w:noProof/>
        </w:rPr>
        <w:t>4</w:t>
      </w:r>
    </w:fldSimple>
  </w:p>
  <w:p w:rsidR="00174804" w:rsidRDefault="001748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804" w:rsidRDefault="005718E6">
    <w:pPr>
      <w:pStyle w:val="Footer"/>
      <w:jc w:val="center"/>
    </w:pPr>
    <w:fldSimple w:instr=" PAGE   \* MERGEFORMAT ">
      <w:r w:rsidR="00BA61F2">
        <w:rPr>
          <w:noProof/>
        </w:rPr>
        <w:t>1</w:t>
      </w:r>
    </w:fldSimple>
  </w:p>
  <w:p w:rsidR="00174804" w:rsidRDefault="001748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52C" w:rsidRDefault="00D8352C" w:rsidP="007B5B00">
      <w:r>
        <w:separator/>
      </w:r>
    </w:p>
  </w:footnote>
  <w:footnote w:type="continuationSeparator" w:id="0">
    <w:p w:rsidR="00D8352C" w:rsidRDefault="00D8352C" w:rsidP="007B5B00">
      <w:r>
        <w:continuationSeparator/>
      </w:r>
    </w:p>
  </w:footnote>
  <w:footnote w:id="1">
    <w:p w:rsidR="00174804" w:rsidRDefault="00174804" w:rsidP="00A87D37">
      <w:pPr>
        <w:pStyle w:val="FootnoteText"/>
      </w:pPr>
      <w:r>
        <w:rPr>
          <w:rStyle w:val="FootnoteReference"/>
        </w:rPr>
        <w:footnoteRef/>
      </w:r>
      <w:r>
        <w:t xml:space="preserve">  From January 1, 2011, to the present, the Department’s Office of Justice Programs</w:t>
      </w:r>
      <w:r w:rsidR="00174157">
        <w:t xml:space="preserve"> (OJP)</w:t>
      </w:r>
      <w:r>
        <w:t xml:space="preserve"> has awarded Florida DOC seven (7) grants that total $4,147,986.  Six of those grants (totaling $3,407,626) remain open as of this date.  OJP awarded the most recent grant on October 1, 2014, in the amount of $750,000 for “Pinellas SMART Re-Entry Probation.”  This grant is scheduled to remain open until September 2017.  </w:t>
      </w:r>
    </w:p>
  </w:footnote>
  <w:footnote w:id="2">
    <w:p w:rsidR="00174804" w:rsidRDefault="00174804">
      <w:pPr>
        <w:pStyle w:val="FootnoteText"/>
      </w:pPr>
      <w:r>
        <w:rPr>
          <w:rStyle w:val="FootnoteReference"/>
        </w:rPr>
        <w:footnoteRef/>
      </w:r>
      <w:r>
        <w:t xml:space="preserve">  Please note that this Letter of Findings is a public document and will be posted on the Civil Rights Division’s website.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0F" w:rsidRDefault="00DD21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804" w:rsidRDefault="005718E6" w:rsidP="001E2B0D">
    <w:pPr>
      <w:ind w:left="6480"/>
    </w:pPr>
    <w:r>
      <w:rPr>
        <w:szCs w:val="24"/>
      </w:rPr>
      <w:fldChar w:fldCharType="begin"/>
    </w:r>
    <w:r w:rsidR="00174804">
      <w:rPr>
        <w:szCs w:val="24"/>
      </w:rPr>
      <w:instrText>ADVANCE \x 0</w:instrText>
    </w:r>
    <w:r>
      <w:rPr>
        <w:szCs w:val="24"/>
      </w:rPr>
      <w:fldChar w:fldCharType="end"/>
    </w:r>
    <w:r>
      <w:rPr>
        <w:szCs w:val="24"/>
      </w:rPr>
      <w:fldChar w:fldCharType="begin"/>
    </w:r>
    <w:r w:rsidR="00174804">
      <w:rPr>
        <w:szCs w:val="24"/>
      </w:rPr>
      <w:instrText>ADVANCE \y 129</w:instrText>
    </w:r>
    <w:r>
      <w:rPr>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804" w:rsidRPr="00375818" w:rsidRDefault="00174804" w:rsidP="00375818">
    <w:pPr>
      <w:pStyle w:val="Header"/>
    </w:pPr>
    <w:r w:rsidRPr="00375818">
      <w:t>U.S. Department of Justice</w:t>
    </w:r>
  </w:p>
  <w:p w:rsidR="00174804" w:rsidRPr="00375818" w:rsidRDefault="00174804" w:rsidP="00375818">
    <w:pPr>
      <w:pStyle w:val="Header"/>
      <w:rPr>
        <w:b w:val="0"/>
      </w:rPr>
    </w:pPr>
    <w:r w:rsidRPr="00375818">
      <w:rPr>
        <w:b w:val="0"/>
      </w:rPr>
      <w:t>Civil Rights Division</w:t>
    </w:r>
  </w:p>
  <w:p w:rsidR="00174804" w:rsidRPr="001E2B0D" w:rsidRDefault="005718E6" w:rsidP="00C25630">
    <w:pPr>
      <w:ind w:left="5040"/>
      <w:rPr>
        <w:i/>
        <w:iCs/>
        <w:color w:val="000000"/>
        <w:sz w:val="16"/>
        <w:szCs w:val="16"/>
      </w:rPr>
    </w:pPr>
    <w:r w:rsidRPr="005718E6">
      <w:rPr>
        <w:noProof/>
        <w:color w:val="000000"/>
      </w:rPr>
      <w:pict>
        <v:line id="_x0000_s2051" style="position:absolute;left:0;text-align:left;z-index:251657216;mso-position-horizontal-relative:page;mso-position-vertical-relative:page" from="1in,76.5pt" to="8in,76.5pt" o:allowincell="f" strokecolor="#020000" strokeweight=".96pt">
          <w10:wrap anchorx="page" anchory="page"/>
        </v:line>
      </w:pict>
    </w:r>
  </w:p>
  <w:p w:rsidR="00174804" w:rsidRPr="001E2B0D" w:rsidRDefault="00174804" w:rsidP="00C25630">
    <w:pPr>
      <w:ind w:left="5040" w:right="-360"/>
      <w:rPr>
        <w:i/>
        <w:iCs/>
        <w:color w:val="000000"/>
        <w:sz w:val="16"/>
        <w:szCs w:val="16"/>
      </w:rPr>
    </w:pPr>
  </w:p>
  <w:p w:rsidR="00174804" w:rsidRPr="00375818" w:rsidRDefault="005718E6" w:rsidP="00375818">
    <w:pPr>
      <w:pStyle w:val="EnvelopeReturn"/>
      <w:rPr>
        <w:i/>
        <w:sz w:val="16"/>
        <w:szCs w:val="16"/>
      </w:rPr>
    </w:pPr>
    <w:r>
      <w:rPr>
        <w:i/>
        <w:sz w:val="16"/>
        <w:szCs w:val="16"/>
      </w:rPr>
      <w:pict>
        <v:line id="_x0000_s2055" style="position:absolute;left:0;text-align:left;z-index:251658240;mso-position-horizontal-relative:margin" from="0,12pt" to="0,12pt" o:allowincell="f" strokecolor="#020000" strokeweight=".96pt">
          <w10:wrap anchorx="margin"/>
        </v:line>
      </w:pict>
    </w:r>
    <w:r w:rsidR="00174804" w:rsidRPr="00375818">
      <w:rPr>
        <w:i/>
        <w:sz w:val="16"/>
        <w:szCs w:val="16"/>
      </w:rPr>
      <w:t>Disability Rights Section - NYA</w:t>
    </w:r>
  </w:p>
  <w:p w:rsidR="00174804" w:rsidRPr="00375818" w:rsidRDefault="00174804" w:rsidP="00375818">
    <w:pPr>
      <w:pStyle w:val="EnvelopeReturn"/>
      <w:rPr>
        <w:i/>
        <w:sz w:val="16"/>
        <w:szCs w:val="16"/>
      </w:rPr>
    </w:pPr>
    <w:r w:rsidRPr="00375818">
      <w:rPr>
        <w:i/>
        <w:sz w:val="16"/>
        <w:szCs w:val="16"/>
      </w:rPr>
      <w:t>950 Pennsylvania Ave, NW</w:t>
    </w:r>
  </w:p>
  <w:p w:rsidR="00174804" w:rsidRPr="006736E6" w:rsidRDefault="00174804" w:rsidP="00375818">
    <w:pPr>
      <w:pStyle w:val="EnvelopeReturn"/>
      <w:rPr>
        <w:color w:val="000000"/>
      </w:rPr>
    </w:pPr>
    <w:r w:rsidRPr="00375818">
      <w:rPr>
        <w:i/>
        <w:sz w:val="16"/>
        <w:szCs w:val="16"/>
      </w:rPr>
      <w:t>Washington, DC  20530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5B8464C"/>
    <w:lvl w:ilvl="0">
      <w:start w:val="1"/>
      <w:numFmt w:val="decimal"/>
      <w:lvlText w:val="%1."/>
      <w:lvlJc w:val="left"/>
      <w:pPr>
        <w:tabs>
          <w:tab w:val="num" w:pos="1800"/>
        </w:tabs>
        <w:ind w:left="1800" w:hanging="360"/>
      </w:pPr>
    </w:lvl>
  </w:abstractNum>
  <w:abstractNum w:abstractNumId="1">
    <w:nsid w:val="FFFFFF7D"/>
    <w:multiLevelType w:val="singleLevel"/>
    <w:tmpl w:val="9D9C1450"/>
    <w:lvl w:ilvl="0">
      <w:start w:val="1"/>
      <w:numFmt w:val="decimal"/>
      <w:lvlText w:val="%1."/>
      <w:lvlJc w:val="left"/>
      <w:pPr>
        <w:tabs>
          <w:tab w:val="num" w:pos="1440"/>
        </w:tabs>
        <w:ind w:left="1440" w:hanging="360"/>
      </w:pPr>
    </w:lvl>
  </w:abstractNum>
  <w:abstractNum w:abstractNumId="2">
    <w:nsid w:val="FFFFFF7E"/>
    <w:multiLevelType w:val="singleLevel"/>
    <w:tmpl w:val="69B00600"/>
    <w:lvl w:ilvl="0">
      <w:start w:val="1"/>
      <w:numFmt w:val="decimal"/>
      <w:lvlText w:val="%1."/>
      <w:lvlJc w:val="left"/>
      <w:pPr>
        <w:tabs>
          <w:tab w:val="num" w:pos="1080"/>
        </w:tabs>
        <w:ind w:left="1080" w:hanging="360"/>
      </w:pPr>
    </w:lvl>
  </w:abstractNum>
  <w:abstractNum w:abstractNumId="3">
    <w:nsid w:val="FFFFFF7F"/>
    <w:multiLevelType w:val="singleLevel"/>
    <w:tmpl w:val="E8967F56"/>
    <w:lvl w:ilvl="0">
      <w:start w:val="1"/>
      <w:numFmt w:val="decimal"/>
      <w:lvlText w:val="%1."/>
      <w:lvlJc w:val="left"/>
      <w:pPr>
        <w:tabs>
          <w:tab w:val="num" w:pos="720"/>
        </w:tabs>
        <w:ind w:left="720" w:hanging="360"/>
      </w:pPr>
    </w:lvl>
  </w:abstractNum>
  <w:abstractNum w:abstractNumId="4">
    <w:nsid w:val="FFFFFF80"/>
    <w:multiLevelType w:val="singleLevel"/>
    <w:tmpl w:val="70003FC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6322BF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21CB59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354437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4529C04"/>
    <w:lvl w:ilvl="0">
      <w:start w:val="1"/>
      <w:numFmt w:val="decimal"/>
      <w:lvlText w:val="%1."/>
      <w:lvlJc w:val="left"/>
      <w:pPr>
        <w:tabs>
          <w:tab w:val="num" w:pos="360"/>
        </w:tabs>
        <w:ind w:left="360" w:hanging="360"/>
      </w:pPr>
    </w:lvl>
  </w:abstractNum>
  <w:abstractNum w:abstractNumId="9">
    <w:nsid w:val="FFFFFF89"/>
    <w:multiLevelType w:val="singleLevel"/>
    <w:tmpl w:val="BB0AFF5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stylePaneFormatFilter w:val="1024"/>
  <w:stylePaneSortMethod w:val="0000"/>
  <w:defaultTabStop w:val="720"/>
  <w:drawingGridHorizontalSpacing w:val="12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D47A8"/>
    <w:rsid w:val="00001148"/>
    <w:rsid w:val="00001C2C"/>
    <w:rsid w:val="00015656"/>
    <w:rsid w:val="00022D77"/>
    <w:rsid w:val="00026A56"/>
    <w:rsid w:val="00033C1F"/>
    <w:rsid w:val="000373CC"/>
    <w:rsid w:val="00043539"/>
    <w:rsid w:val="000576F2"/>
    <w:rsid w:val="00067335"/>
    <w:rsid w:val="00091513"/>
    <w:rsid w:val="000A602A"/>
    <w:rsid w:val="000B7A9E"/>
    <w:rsid w:val="000F2229"/>
    <w:rsid w:val="000F5DE5"/>
    <w:rsid w:val="000F643C"/>
    <w:rsid w:val="00121669"/>
    <w:rsid w:val="00134456"/>
    <w:rsid w:val="001435E9"/>
    <w:rsid w:val="00144137"/>
    <w:rsid w:val="00153D06"/>
    <w:rsid w:val="00174157"/>
    <w:rsid w:val="00174804"/>
    <w:rsid w:val="001872CB"/>
    <w:rsid w:val="00193704"/>
    <w:rsid w:val="001A1DA9"/>
    <w:rsid w:val="001A1F95"/>
    <w:rsid w:val="001A6821"/>
    <w:rsid w:val="001A6A16"/>
    <w:rsid w:val="001C2D03"/>
    <w:rsid w:val="001E2B0D"/>
    <w:rsid w:val="001E40D7"/>
    <w:rsid w:val="001F12B2"/>
    <w:rsid w:val="002112A5"/>
    <w:rsid w:val="00213161"/>
    <w:rsid w:val="00213931"/>
    <w:rsid w:val="002339AA"/>
    <w:rsid w:val="002409C6"/>
    <w:rsid w:val="00245B36"/>
    <w:rsid w:val="002648C7"/>
    <w:rsid w:val="002653EA"/>
    <w:rsid w:val="00270371"/>
    <w:rsid w:val="002748D1"/>
    <w:rsid w:val="00282A9E"/>
    <w:rsid w:val="00284F76"/>
    <w:rsid w:val="00287863"/>
    <w:rsid w:val="002916D6"/>
    <w:rsid w:val="002A13FD"/>
    <w:rsid w:val="002C3F83"/>
    <w:rsid w:val="002D1167"/>
    <w:rsid w:val="002E1F53"/>
    <w:rsid w:val="00310CDD"/>
    <w:rsid w:val="00322F1C"/>
    <w:rsid w:val="00360258"/>
    <w:rsid w:val="00375818"/>
    <w:rsid w:val="00383037"/>
    <w:rsid w:val="0038528D"/>
    <w:rsid w:val="00397D8C"/>
    <w:rsid w:val="003A328B"/>
    <w:rsid w:val="003C0429"/>
    <w:rsid w:val="003C1FA7"/>
    <w:rsid w:val="003D6F11"/>
    <w:rsid w:val="003F728F"/>
    <w:rsid w:val="003F7F5C"/>
    <w:rsid w:val="00434351"/>
    <w:rsid w:val="0045009F"/>
    <w:rsid w:val="004744B9"/>
    <w:rsid w:val="00474D4C"/>
    <w:rsid w:val="00480239"/>
    <w:rsid w:val="00487073"/>
    <w:rsid w:val="004929C4"/>
    <w:rsid w:val="004A32DD"/>
    <w:rsid w:val="004B4E15"/>
    <w:rsid w:val="004B646C"/>
    <w:rsid w:val="004C2767"/>
    <w:rsid w:val="004E10F1"/>
    <w:rsid w:val="004E3938"/>
    <w:rsid w:val="0051274B"/>
    <w:rsid w:val="00514266"/>
    <w:rsid w:val="005718E6"/>
    <w:rsid w:val="00572F05"/>
    <w:rsid w:val="00580955"/>
    <w:rsid w:val="00593916"/>
    <w:rsid w:val="00595666"/>
    <w:rsid w:val="00595C21"/>
    <w:rsid w:val="005A0B35"/>
    <w:rsid w:val="005A6FC9"/>
    <w:rsid w:val="005A7648"/>
    <w:rsid w:val="005B2B49"/>
    <w:rsid w:val="005F6A2F"/>
    <w:rsid w:val="0060573F"/>
    <w:rsid w:val="00621682"/>
    <w:rsid w:val="006425BF"/>
    <w:rsid w:val="0065073B"/>
    <w:rsid w:val="006736E6"/>
    <w:rsid w:val="0067703D"/>
    <w:rsid w:val="006A3A31"/>
    <w:rsid w:val="006C0D99"/>
    <w:rsid w:val="006F257D"/>
    <w:rsid w:val="00702EDB"/>
    <w:rsid w:val="007458D8"/>
    <w:rsid w:val="00751D14"/>
    <w:rsid w:val="007733E5"/>
    <w:rsid w:val="00775073"/>
    <w:rsid w:val="0079506A"/>
    <w:rsid w:val="00795563"/>
    <w:rsid w:val="00795C0F"/>
    <w:rsid w:val="00797BEA"/>
    <w:rsid w:val="007A68A8"/>
    <w:rsid w:val="007B5B00"/>
    <w:rsid w:val="007C3D36"/>
    <w:rsid w:val="007C5ECA"/>
    <w:rsid w:val="007C7D4E"/>
    <w:rsid w:val="007F27E7"/>
    <w:rsid w:val="0081024C"/>
    <w:rsid w:val="00817B00"/>
    <w:rsid w:val="008619DF"/>
    <w:rsid w:val="00875D4E"/>
    <w:rsid w:val="00886D0E"/>
    <w:rsid w:val="00896551"/>
    <w:rsid w:val="008B0993"/>
    <w:rsid w:val="008B2C57"/>
    <w:rsid w:val="008B6EFE"/>
    <w:rsid w:val="00903963"/>
    <w:rsid w:val="0091741F"/>
    <w:rsid w:val="00927BB9"/>
    <w:rsid w:val="00954115"/>
    <w:rsid w:val="0098674A"/>
    <w:rsid w:val="00990B67"/>
    <w:rsid w:val="009952DB"/>
    <w:rsid w:val="009A3E16"/>
    <w:rsid w:val="009C2D05"/>
    <w:rsid w:val="009C6067"/>
    <w:rsid w:val="009E0F4E"/>
    <w:rsid w:val="00A05622"/>
    <w:rsid w:val="00A11032"/>
    <w:rsid w:val="00A24488"/>
    <w:rsid w:val="00A30C4B"/>
    <w:rsid w:val="00A52BB1"/>
    <w:rsid w:val="00A767D5"/>
    <w:rsid w:val="00A82FE8"/>
    <w:rsid w:val="00A87D37"/>
    <w:rsid w:val="00A97DDB"/>
    <w:rsid w:val="00AA2C26"/>
    <w:rsid w:val="00AA3FD0"/>
    <w:rsid w:val="00AA5683"/>
    <w:rsid w:val="00AB4723"/>
    <w:rsid w:val="00AD6E79"/>
    <w:rsid w:val="00AE6547"/>
    <w:rsid w:val="00AF2682"/>
    <w:rsid w:val="00AF2A64"/>
    <w:rsid w:val="00B05C5C"/>
    <w:rsid w:val="00B364E4"/>
    <w:rsid w:val="00B41564"/>
    <w:rsid w:val="00B50E58"/>
    <w:rsid w:val="00B52B08"/>
    <w:rsid w:val="00B62D52"/>
    <w:rsid w:val="00B77D32"/>
    <w:rsid w:val="00B9692D"/>
    <w:rsid w:val="00BA2099"/>
    <w:rsid w:val="00BA30EF"/>
    <w:rsid w:val="00BA61F2"/>
    <w:rsid w:val="00BF2FBC"/>
    <w:rsid w:val="00C1438D"/>
    <w:rsid w:val="00C17C9F"/>
    <w:rsid w:val="00C20A29"/>
    <w:rsid w:val="00C25630"/>
    <w:rsid w:val="00C37725"/>
    <w:rsid w:val="00C478D0"/>
    <w:rsid w:val="00C824E3"/>
    <w:rsid w:val="00C851F8"/>
    <w:rsid w:val="00C9567B"/>
    <w:rsid w:val="00CA068E"/>
    <w:rsid w:val="00CA3509"/>
    <w:rsid w:val="00D0678D"/>
    <w:rsid w:val="00D11110"/>
    <w:rsid w:val="00D21100"/>
    <w:rsid w:val="00D246AF"/>
    <w:rsid w:val="00D429AA"/>
    <w:rsid w:val="00D43CCF"/>
    <w:rsid w:val="00D46683"/>
    <w:rsid w:val="00D7110D"/>
    <w:rsid w:val="00D82B94"/>
    <w:rsid w:val="00D8352C"/>
    <w:rsid w:val="00D8454C"/>
    <w:rsid w:val="00D86505"/>
    <w:rsid w:val="00DA00F8"/>
    <w:rsid w:val="00DA05A2"/>
    <w:rsid w:val="00DB4D4B"/>
    <w:rsid w:val="00DC0302"/>
    <w:rsid w:val="00DC1B55"/>
    <w:rsid w:val="00DC57D2"/>
    <w:rsid w:val="00DD210F"/>
    <w:rsid w:val="00DD71B3"/>
    <w:rsid w:val="00E11965"/>
    <w:rsid w:val="00E1760E"/>
    <w:rsid w:val="00E23C3F"/>
    <w:rsid w:val="00E379A3"/>
    <w:rsid w:val="00E42C7C"/>
    <w:rsid w:val="00E44F85"/>
    <w:rsid w:val="00E516DB"/>
    <w:rsid w:val="00E56734"/>
    <w:rsid w:val="00E629D0"/>
    <w:rsid w:val="00E71976"/>
    <w:rsid w:val="00E73080"/>
    <w:rsid w:val="00E805A7"/>
    <w:rsid w:val="00E80ABA"/>
    <w:rsid w:val="00E83D53"/>
    <w:rsid w:val="00E924CB"/>
    <w:rsid w:val="00E9345E"/>
    <w:rsid w:val="00E971EE"/>
    <w:rsid w:val="00EA0294"/>
    <w:rsid w:val="00EA2DA3"/>
    <w:rsid w:val="00EC1A68"/>
    <w:rsid w:val="00EC5DEA"/>
    <w:rsid w:val="00ED2944"/>
    <w:rsid w:val="00ED47A8"/>
    <w:rsid w:val="00ED7DC0"/>
    <w:rsid w:val="00EE335B"/>
    <w:rsid w:val="00EE3D68"/>
    <w:rsid w:val="00EE6DB9"/>
    <w:rsid w:val="00F16261"/>
    <w:rsid w:val="00F17585"/>
    <w:rsid w:val="00F743E8"/>
    <w:rsid w:val="00F75686"/>
    <w:rsid w:val="00F934CE"/>
    <w:rsid w:val="00F93BFB"/>
    <w:rsid w:val="00F93F78"/>
    <w:rsid w:val="00FE5016"/>
    <w:rsid w:val="00FF5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818"/>
    <w:pPr>
      <w:autoSpaceDE w:val="0"/>
      <w:autoSpaceDN w:val="0"/>
      <w:adjustRightInd w:val="0"/>
    </w:pPr>
    <w:rPr>
      <w:rFonts w:ascii="Times New Roman" w:hAnsi="Times New Roman"/>
      <w:sz w:val="24"/>
    </w:rPr>
  </w:style>
  <w:style w:type="paragraph" w:styleId="Heading1">
    <w:name w:val="heading 1"/>
    <w:basedOn w:val="Title"/>
    <w:next w:val="Normal"/>
    <w:link w:val="Heading1Char"/>
    <w:uiPriority w:val="9"/>
    <w:qFormat/>
    <w:rsid w:val="00AA3FD0"/>
    <w:pPr>
      <w:outlineLvl w:val="0"/>
    </w:pPr>
  </w:style>
  <w:style w:type="paragraph" w:styleId="Heading2">
    <w:name w:val="heading 2"/>
    <w:basedOn w:val="Heading1"/>
    <w:next w:val="Normal"/>
    <w:link w:val="Heading2Char"/>
    <w:uiPriority w:val="9"/>
    <w:unhideWhenUsed/>
    <w:qFormat/>
    <w:rsid w:val="00AA3FD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0678D"/>
    <w:rPr>
      <w:color w:val="808080"/>
    </w:rPr>
  </w:style>
  <w:style w:type="paragraph" w:styleId="BalloonText">
    <w:name w:val="Balloon Text"/>
    <w:basedOn w:val="Normal"/>
    <w:link w:val="BalloonTextChar"/>
    <w:uiPriority w:val="99"/>
    <w:semiHidden/>
    <w:unhideWhenUsed/>
    <w:rsid w:val="00896551"/>
    <w:rPr>
      <w:rFonts w:ascii="Tahoma" w:hAnsi="Tahoma"/>
      <w:sz w:val="16"/>
      <w:szCs w:val="16"/>
    </w:rPr>
  </w:style>
  <w:style w:type="character" w:customStyle="1" w:styleId="BalloonTextChar">
    <w:name w:val="Balloon Text Char"/>
    <w:link w:val="BalloonText"/>
    <w:uiPriority w:val="99"/>
    <w:semiHidden/>
    <w:rsid w:val="00896551"/>
    <w:rPr>
      <w:rFonts w:ascii="Tahoma" w:hAnsi="Tahoma" w:cs="Tahoma"/>
      <w:sz w:val="16"/>
      <w:szCs w:val="16"/>
    </w:rPr>
  </w:style>
  <w:style w:type="paragraph" w:styleId="Header">
    <w:name w:val="header"/>
    <w:basedOn w:val="Normal"/>
    <w:link w:val="HeaderChar"/>
    <w:uiPriority w:val="99"/>
    <w:unhideWhenUsed/>
    <w:rsid w:val="00375818"/>
    <w:pPr>
      <w:spacing w:line="360" w:lineRule="auto"/>
      <w:ind w:left="5040"/>
    </w:pPr>
    <w:rPr>
      <w:b/>
      <w:bCs/>
      <w:color w:val="000000"/>
      <w:szCs w:val="24"/>
    </w:rPr>
  </w:style>
  <w:style w:type="character" w:customStyle="1" w:styleId="HeaderChar">
    <w:name w:val="Header Char"/>
    <w:link w:val="Header"/>
    <w:uiPriority w:val="99"/>
    <w:rsid w:val="00375818"/>
    <w:rPr>
      <w:rFonts w:ascii="Times New Roman" w:hAnsi="Times New Roman"/>
      <w:b/>
      <w:bCs/>
      <w:color w:val="000000"/>
      <w:sz w:val="24"/>
      <w:szCs w:val="24"/>
    </w:rPr>
  </w:style>
  <w:style w:type="paragraph" w:styleId="Footer">
    <w:name w:val="footer"/>
    <w:basedOn w:val="Normal"/>
    <w:link w:val="FooterChar"/>
    <w:uiPriority w:val="99"/>
    <w:unhideWhenUsed/>
    <w:rsid w:val="007B5B00"/>
    <w:pPr>
      <w:tabs>
        <w:tab w:val="center" w:pos="4680"/>
        <w:tab w:val="right" w:pos="9360"/>
      </w:tabs>
    </w:pPr>
  </w:style>
  <w:style w:type="character" w:customStyle="1" w:styleId="FooterChar">
    <w:name w:val="Footer Char"/>
    <w:link w:val="Footer"/>
    <w:uiPriority w:val="99"/>
    <w:rsid w:val="007B5B00"/>
    <w:rPr>
      <w:rFonts w:ascii="Times New Roman" w:hAnsi="Times New Roman" w:cs="Times New Roman"/>
      <w:sz w:val="24"/>
      <w:szCs w:val="20"/>
    </w:rPr>
  </w:style>
  <w:style w:type="character" w:styleId="CommentReference">
    <w:name w:val="annotation reference"/>
    <w:uiPriority w:val="99"/>
    <w:semiHidden/>
    <w:unhideWhenUsed/>
    <w:rsid w:val="000F643C"/>
    <w:rPr>
      <w:sz w:val="16"/>
      <w:szCs w:val="16"/>
    </w:rPr>
  </w:style>
  <w:style w:type="paragraph" w:styleId="CommentText">
    <w:name w:val="annotation text"/>
    <w:basedOn w:val="Normal"/>
    <w:link w:val="CommentTextChar"/>
    <w:uiPriority w:val="99"/>
    <w:semiHidden/>
    <w:unhideWhenUsed/>
    <w:rsid w:val="000F643C"/>
    <w:rPr>
      <w:sz w:val="20"/>
    </w:rPr>
  </w:style>
  <w:style w:type="character" w:customStyle="1" w:styleId="CommentTextChar">
    <w:name w:val="Comment Text Char"/>
    <w:link w:val="CommentText"/>
    <w:uiPriority w:val="99"/>
    <w:semiHidden/>
    <w:rsid w:val="000F643C"/>
    <w:rPr>
      <w:rFonts w:ascii="Times New Roman" w:hAnsi="Times New Roman"/>
    </w:rPr>
  </w:style>
  <w:style w:type="character" w:styleId="Hyperlink">
    <w:name w:val="Hyperlink"/>
    <w:uiPriority w:val="99"/>
    <w:unhideWhenUsed/>
    <w:rsid w:val="00E805A7"/>
    <w:rPr>
      <w:color w:val="0000FF"/>
      <w:u w:val="single"/>
    </w:rPr>
  </w:style>
  <w:style w:type="character" w:customStyle="1" w:styleId="pmterms1">
    <w:name w:val="pmterms1"/>
    <w:basedOn w:val="DefaultParagraphFont"/>
    <w:rsid w:val="00E805A7"/>
  </w:style>
  <w:style w:type="paragraph" w:styleId="FootnoteText">
    <w:name w:val="footnote text"/>
    <w:basedOn w:val="Normal"/>
    <w:link w:val="FootnoteTextChar"/>
    <w:uiPriority w:val="99"/>
    <w:semiHidden/>
    <w:unhideWhenUsed/>
    <w:rsid w:val="00CA068E"/>
    <w:rPr>
      <w:sz w:val="20"/>
    </w:rPr>
  </w:style>
  <w:style w:type="character" w:customStyle="1" w:styleId="FootnoteTextChar">
    <w:name w:val="Footnote Text Char"/>
    <w:link w:val="FootnoteText"/>
    <w:uiPriority w:val="99"/>
    <w:semiHidden/>
    <w:rsid w:val="00CA068E"/>
    <w:rPr>
      <w:rFonts w:ascii="Times New Roman" w:hAnsi="Times New Roman"/>
    </w:rPr>
  </w:style>
  <w:style w:type="character" w:styleId="FootnoteReference">
    <w:name w:val="footnote reference"/>
    <w:uiPriority w:val="99"/>
    <w:semiHidden/>
    <w:unhideWhenUsed/>
    <w:rsid w:val="00CA068E"/>
    <w:rPr>
      <w:vertAlign w:val="superscript"/>
    </w:rPr>
  </w:style>
  <w:style w:type="paragraph" w:styleId="CommentSubject">
    <w:name w:val="annotation subject"/>
    <w:basedOn w:val="CommentText"/>
    <w:next w:val="CommentText"/>
    <w:link w:val="CommentSubjectChar"/>
    <w:uiPriority w:val="99"/>
    <w:semiHidden/>
    <w:unhideWhenUsed/>
    <w:rsid w:val="005A7648"/>
    <w:rPr>
      <w:b/>
      <w:bCs/>
    </w:rPr>
  </w:style>
  <w:style w:type="character" w:customStyle="1" w:styleId="CommentSubjectChar">
    <w:name w:val="Comment Subject Char"/>
    <w:link w:val="CommentSubject"/>
    <w:uiPriority w:val="99"/>
    <w:semiHidden/>
    <w:rsid w:val="005A7648"/>
    <w:rPr>
      <w:rFonts w:ascii="Times New Roman" w:hAnsi="Times New Roman"/>
      <w:b/>
      <w:bCs/>
    </w:rPr>
  </w:style>
  <w:style w:type="character" w:styleId="Emphasis">
    <w:name w:val="Emphasis"/>
    <w:basedOn w:val="DefaultParagraphFont"/>
    <w:uiPriority w:val="20"/>
    <w:qFormat/>
    <w:rsid w:val="004B646C"/>
    <w:rPr>
      <w:i/>
      <w:iCs/>
    </w:rPr>
  </w:style>
  <w:style w:type="paragraph" w:styleId="Date">
    <w:name w:val="Date"/>
    <w:basedOn w:val="Normal"/>
    <w:next w:val="Normal"/>
    <w:link w:val="DateChar"/>
    <w:uiPriority w:val="99"/>
    <w:unhideWhenUsed/>
    <w:rsid w:val="00375818"/>
  </w:style>
  <w:style w:type="character" w:customStyle="1" w:styleId="DateChar">
    <w:name w:val="Date Char"/>
    <w:basedOn w:val="DefaultParagraphFont"/>
    <w:link w:val="Date"/>
    <w:uiPriority w:val="99"/>
    <w:rsid w:val="00375818"/>
    <w:rPr>
      <w:rFonts w:ascii="Times New Roman" w:hAnsi="Times New Roman"/>
      <w:sz w:val="24"/>
    </w:rPr>
  </w:style>
  <w:style w:type="paragraph" w:styleId="EnvelopeReturn">
    <w:name w:val="envelope return"/>
    <w:basedOn w:val="Normal"/>
    <w:uiPriority w:val="99"/>
    <w:unhideWhenUsed/>
    <w:rsid w:val="00375818"/>
    <w:pPr>
      <w:ind w:left="5040"/>
    </w:pPr>
    <w:rPr>
      <w:noProof/>
    </w:rPr>
  </w:style>
  <w:style w:type="paragraph" w:styleId="EnvelopeAddress">
    <w:name w:val="envelope address"/>
    <w:basedOn w:val="Normal"/>
    <w:uiPriority w:val="99"/>
    <w:unhideWhenUsed/>
    <w:rsid w:val="00375818"/>
  </w:style>
  <w:style w:type="paragraph" w:styleId="Title">
    <w:name w:val="Title"/>
    <w:basedOn w:val="Normal"/>
    <w:next w:val="Normal"/>
    <w:link w:val="TitleChar"/>
    <w:uiPriority w:val="10"/>
    <w:qFormat/>
    <w:rsid w:val="00375818"/>
    <w:pPr>
      <w:ind w:firstLine="720"/>
    </w:pPr>
  </w:style>
  <w:style w:type="character" w:customStyle="1" w:styleId="TitleChar">
    <w:name w:val="Title Char"/>
    <w:basedOn w:val="DefaultParagraphFont"/>
    <w:link w:val="Title"/>
    <w:uiPriority w:val="10"/>
    <w:rsid w:val="00375818"/>
    <w:rPr>
      <w:rFonts w:ascii="Times New Roman" w:hAnsi="Times New Roman"/>
      <w:sz w:val="24"/>
    </w:rPr>
  </w:style>
  <w:style w:type="paragraph" w:styleId="Salutation">
    <w:name w:val="Salutation"/>
    <w:basedOn w:val="Normal"/>
    <w:next w:val="Normal"/>
    <w:link w:val="SalutationChar"/>
    <w:uiPriority w:val="99"/>
    <w:unhideWhenUsed/>
    <w:rsid w:val="00AA3FD0"/>
  </w:style>
  <w:style w:type="character" w:customStyle="1" w:styleId="SalutationChar">
    <w:name w:val="Salutation Char"/>
    <w:basedOn w:val="DefaultParagraphFont"/>
    <w:link w:val="Salutation"/>
    <w:uiPriority w:val="99"/>
    <w:rsid w:val="00AA3FD0"/>
    <w:rPr>
      <w:rFonts w:ascii="Times New Roman" w:hAnsi="Times New Roman"/>
      <w:sz w:val="24"/>
    </w:rPr>
  </w:style>
  <w:style w:type="character" w:customStyle="1" w:styleId="Heading1Char">
    <w:name w:val="Heading 1 Char"/>
    <w:basedOn w:val="DefaultParagraphFont"/>
    <w:link w:val="Heading1"/>
    <w:uiPriority w:val="9"/>
    <w:rsid w:val="00AA3FD0"/>
    <w:rPr>
      <w:rFonts w:ascii="Times New Roman" w:hAnsi="Times New Roman"/>
      <w:sz w:val="24"/>
    </w:rPr>
  </w:style>
  <w:style w:type="character" w:customStyle="1" w:styleId="Heading2Char">
    <w:name w:val="Heading 2 Char"/>
    <w:basedOn w:val="DefaultParagraphFont"/>
    <w:link w:val="Heading2"/>
    <w:uiPriority w:val="9"/>
    <w:rsid w:val="00AA3FD0"/>
    <w:rPr>
      <w:rFonts w:ascii="Times New Roman" w:hAnsi="Times New Roman"/>
      <w:b/>
      <w:sz w:val="24"/>
    </w:rPr>
  </w:style>
  <w:style w:type="paragraph" w:styleId="Closing">
    <w:name w:val="Closing"/>
    <w:basedOn w:val="Normal"/>
    <w:link w:val="ClosingChar"/>
    <w:uiPriority w:val="99"/>
    <w:unhideWhenUsed/>
    <w:rsid w:val="00AA3FD0"/>
    <w:pPr>
      <w:spacing w:before="240" w:after="240"/>
      <w:ind w:right="720"/>
    </w:pPr>
    <w:rPr>
      <w:szCs w:val="24"/>
    </w:rPr>
  </w:style>
  <w:style w:type="character" w:customStyle="1" w:styleId="ClosingChar">
    <w:name w:val="Closing Char"/>
    <w:basedOn w:val="DefaultParagraphFont"/>
    <w:link w:val="Closing"/>
    <w:uiPriority w:val="99"/>
    <w:rsid w:val="00AA3FD0"/>
    <w:rPr>
      <w:rFonts w:ascii="Times New Roman" w:hAnsi="Times New Roman"/>
      <w:sz w:val="24"/>
      <w:szCs w:val="24"/>
    </w:rPr>
  </w:style>
  <w:style w:type="paragraph" w:styleId="Signature">
    <w:name w:val="Signature"/>
    <w:basedOn w:val="Normal"/>
    <w:link w:val="SignatureChar"/>
    <w:uiPriority w:val="99"/>
    <w:unhideWhenUsed/>
    <w:rsid w:val="00AA3FD0"/>
    <w:rPr>
      <w:szCs w:val="24"/>
    </w:rPr>
  </w:style>
  <w:style w:type="character" w:customStyle="1" w:styleId="SignatureChar">
    <w:name w:val="Signature Char"/>
    <w:basedOn w:val="DefaultParagraphFont"/>
    <w:link w:val="Signature"/>
    <w:uiPriority w:val="99"/>
    <w:rsid w:val="00AA3FD0"/>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BC24F-2A08-46C1-B8B9-A07DF78E9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6560</Characters>
  <Application>Microsoft Office Word</Application>
  <DocSecurity>0</DocSecurity>
  <Lines>54</Lines>
  <Paragraphs>15</Paragraphs>
  <ScaleCrop>false</ScaleCrop>
  <LinksUpToDate>false</LinksUpToDate>
  <CharactersWithSpaces>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2015-06-17T14:56:00Z</dcterms:created>
  <dcterms:modified xsi:type="dcterms:W3CDTF">2015-06-17T14:57:00Z</dcterms:modified>
</cp:coreProperties>
</file>